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heme="majorEastAsia" w:hAnsiTheme="majorEastAsia" w:eastAsiaTheme="majorEastAsia"/>
          <w:b/>
          <w:color w:val="000000" w:themeColor="text1"/>
          <w:szCs w:val="32"/>
          <w14:textFill>
            <w14:solidFill>
              <w14:schemeClr w14:val="tx1"/>
            </w14:solidFill>
          </w14:textFill>
        </w:rPr>
      </w:pPr>
      <w:r>
        <w:rPr>
          <w:rFonts w:hint="eastAsia" w:asciiTheme="majorEastAsia" w:hAnsiTheme="majorEastAsia" w:eastAsiaTheme="majorEastAsia"/>
          <w:b/>
          <w:color w:val="000000" w:themeColor="text1"/>
          <w:szCs w:val="32"/>
          <w14:textFill>
            <w14:solidFill>
              <w14:schemeClr w14:val="tx1"/>
            </w14:solidFill>
          </w14:textFill>
        </w:rPr>
        <w:t>新闻与传播硕士专业学位研究生培养方案（外招）</w:t>
      </w:r>
    </w:p>
    <w:p>
      <w:pPr>
        <w:spacing w:line="480" w:lineRule="exact"/>
        <w:ind w:firstLine="640"/>
        <w:jc w:val="center"/>
        <w:rPr>
          <w:rFonts w:eastAsia="方正小标宋简体"/>
          <w:b/>
          <w:color w:val="000000" w:themeColor="text1"/>
          <w:szCs w:val="32"/>
          <w14:textFill>
            <w14:solidFill>
              <w14:schemeClr w14:val="tx1"/>
            </w14:solidFill>
          </w14:textFill>
        </w:rPr>
      </w:pPr>
      <w:r>
        <w:rPr>
          <w:rFonts w:eastAsia="方正小标宋简体"/>
          <w:b/>
          <w:color w:val="000000" w:themeColor="text1"/>
          <w:szCs w:val="32"/>
          <w14:textFill>
            <w14:solidFill>
              <w14:schemeClr w14:val="tx1"/>
            </w14:solidFill>
          </w14:textFill>
        </w:rPr>
        <w:t>Developing Plan for Master of Journalism and Communication</w:t>
      </w:r>
      <w:r>
        <w:rPr>
          <w:rFonts w:hint="eastAsia" w:eastAsia="方正小标宋简体"/>
          <w:b/>
          <w:color w:val="000000" w:themeColor="text1"/>
          <w:szCs w:val="32"/>
          <w14:textFill>
            <w14:solidFill>
              <w14:schemeClr w14:val="tx1"/>
            </w14:solidFill>
          </w14:textFill>
        </w:rPr>
        <w:t xml:space="preserve"> (MJC)</w:t>
      </w:r>
    </w:p>
    <w:p>
      <w:pPr>
        <w:ind w:firstLine="640"/>
        <w:jc w:val="center"/>
        <w:rPr>
          <w:rFonts w:eastAsia="方正小标宋简体"/>
          <w:b/>
          <w:color w:val="000000" w:themeColor="text1"/>
          <w:sz w:val="44"/>
          <w:szCs w:val="44"/>
          <w14:textFill>
            <w14:solidFill>
              <w14:schemeClr w14:val="tx1"/>
            </w14:solidFill>
          </w14:textFill>
        </w:rPr>
      </w:pPr>
      <w:r>
        <w:rPr>
          <w:rFonts w:hint="eastAsia" w:eastAsia="方正小标宋简体"/>
          <w:b/>
          <w:color w:val="000000" w:themeColor="text1"/>
          <w:szCs w:val="32"/>
          <w14:textFill>
            <w14:solidFill>
              <w14:schemeClr w14:val="tx1"/>
            </w14:solidFill>
          </w14:textFill>
        </w:rPr>
        <w:t>（055200）</w:t>
      </w:r>
    </w:p>
    <w:p>
      <w:pPr>
        <w:spacing w:line="440" w:lineRule="exact"/>
        <w:ind w:firstLine="562"/>
        <w:rPr>
          <w:rFonts w:ascii="仿宋" w:hAnsi="仿宋" w:eastAsia="仿宋"/>
          <w:b/>
          <w:sz w:val="28"/>
          <w:szCs w:val="28"/>
        </w:rPr>
      </w:pPr>
      <w:r>
        <w:rPr>
          <w:rFonts w:hint="eastAsia" w:ascii="仿宋" w:hAnsi="仿宋" w:eastAsia="仿宋"/>
          <w:b/>
          <w:sz w:val="28"/>
          <w:szCs w:val="28"/>
        </w:rPr>
        <w:t>一、培养方向</w:t>
      </w:r>
    </w:p>
    <w:p>
      <w:pPr>
        <w:spacing w:line="440" w:lineRule="exact"/>
        <w:ind w:firstLine="560"/>
        <w:rPr>
          <w:rFonts w:ascii="仿宋" w:hAnsi="仿宋" w:eastAsia="仿宋"/>
          <w:sz w:val="28"/>
          <w:szCs w:val="28"/>
        </w:rPr>
      </w:pPr>
      <w:r>
        <w:rPr>
          <w:rFonts w:hint="eastAsia" w:ascii="仿宋" w:hAnsi="仿宋" w:eastAsia="仿宋"/>
          <w:sz w:val="28"/>
          <w:szCs w:val="28"/>
        </w:rPr>
        <w:t>1. 融合新闻 Convergen</w:t>
      </w:r>
      <w:r>
        <w:rPr>
          <w:rFonts w:ascii="仿宋" w:hAnsi="仿宋" w:eastAsia="仿宋"/>
          <w:sz w:val="28"/>
          <w:szCs w:val="28"/>
        </w:rPr>
        <w:t>ce</w:t>
      </w:r>
      <w:r>
        <w:rPr>
          <w:rFonts w:hint="eastAsia" w:ascii="仿宋" w:hAnsi="仿宋" w:eastAsia="仿宋"/>
          <w:sz w:val="28"/>
          <w:szCs w:val="28"/>
        </w:rPr>
        <w:t xml:space="preserve"> Journalism</w:t>
      </w:r>
    </w:p>
    <w:p>
      <w:pPr>
        <w:spacing w:line="440" w:lineRule="exact"/>
        <w:ind w:firstLine="560"/>
        <w:rPr>
          <w:rFonts w:ascii="仿宋" w:hAnsi="仿宋" w:eastAsia="仿宋"/>
          <w:sz w:val="28"/>
          <w:szCs w:val="28"/>
        </w:rPr>
      </w:pPr>
      <w:r>
        <w:rPr>
          <w:rFonts w:hint="eastAsia" w:ascii="仿宋" w:hAnsi="仿宋" w:eastAsia="仿宋"/>
          <w:sz w:val="28"/>
          <w:szCs w:val="28"/>
        </w:rPr>
        <w:t>2. 数字营销传播 Digital Marketing Communication</w:t>
      </w:r>
    </w:p>
    <w:p>
      <w:pPr>
        <w:spacing w:line="440" w:lineRule="exact"/>
        <w:ind w:firstLine="560"/>
        <w:rPr>
          <w:rFonts w:ascii="仿宋" w:hAnsi="仿宋" w:eastAsia="仿宋"/>
          <w:sz w:val="28"/>
          <w:szCs w:val="28"/>
        </w:rPr>
      </w:pPr>
      <w:r>
        <w:rPr>
          <w:rFonts w:hint="eastAsia" w:ascii="仿宋" w:hAnsi="仿宋" w:eastAsia="仿宋"/>
          <w:sz w:val="28"/>
          <w:szCs w:val="28"/>
        </w:rPr>
        <w:t xml:space="preserve">3. 计算传播 </w:t>
      </w:r>
      <w:r>
        <w:rPr>
          <w:rFonts w:ascii="仿宋" w:hAnsi="仿宋" w:eastAsia="仿宋"/>
          <w:sz w:val="28"/>
          <w:szCs w:val="28"/>
        </w:rPr>
        <w:t xml:space="preserve">Computational </w:t>
      </w:r>
      <w:r>
        <w:rPr>
          <w:rFonts w:hint="eastAsia" w:ascii="仿宋" w:hAnsi="仿宋" w:eastAsia="仿宋"/>
          <w:sz w:val="28"/>
          <w:szCs w:val="28"/>
        </w:rPr>
        <w:t>C</w:t>
      </w:r>
      <w:r>
        <w:rPr>
          <w:rFonts w:ascii="仿宋" w:hAnsi="仿宋" w:eastAsia="仿宋"/>
          <w:sz w:val="28"/>
          <w:szCs w:val="28"/>
        </w:rPr>
        <w:t>ommunication</w:t>
      </w:r>
    </w:p>
    <w:p>
      <w:pPr>
        <w:spacing w:line="440" w:lineRule="exact"/>
        <w:ind w:firstLine="560"/>
        <w:rPr>
          <w:rFonts w:hint="eastAsia" w:ascii="仿宋" w:hAnsi="仿宋" w:eastAsia="仿宋"/>
          <w:sz w:val="28"/>
          <w:szCs w:val="28"/>
        </w:rPr>
      </w:pPr>
      <w:r>
        <w:rPr>
          <w:rFonts w:hint="eastAsia" w:ascii="仿宋" w:hAnsi="仿宋" w:eastAsia="仿宋"/>
          <w:sz w:val="28"/>
          <w:szCs w:val="28"/>
        </w:rPr>
        <w:t>4. 国际传播 International Communication</w:t>
      </w:r>
    </w:p>
    <w:p>
      <w:pPr>
        <w:spacing w:line="440" w:lineRule="exact"/>
        <w:ind w:firstLine="560"/>
        <w:jc w:val="left"/>
        <w:rPr>
          <w:rFonts w:hint="default" w:ascii="仿宋" w:hAnsi="仿宋" w:eastAsia="仿宋"/>
          <w:sz w:val="28"/>
          <w:szCs w:val="28"/>
          <w:lang w:val="en-US" w:eastAsia="zh-CN"/>
        </w:rPr>
      </w:pPr>
      <w:r>
        <w:rPr>
          <w:rFonts w:hint="eastAsia" w:ascii="仿宋" w:hAnsi="仿宋" w:eastAsia="仿宋"/>
          <w:sz w:val="28"/>
          <w:szCs w:val="28"/>
          <w:lang w:val="en-US" w:eastAsia="zh-CN"/>
        </w:rPr>
        <w:t>5. 数字出版与开源情报Digital Publishing&amp;Open Source Intelligence</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二、培养目标及基本要求</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（一）港澳台生</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1.培养目标</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职业需求为导向，突出以实践能力、创新能力和社会责任感为核心的综合素质培养，培养掌握某一特定职业领域坚实的基础理论和宽广的专业知识，具有国际视野、良好的职业素养和较强的解决实际问题的能力，能够承担新闻传播专业或相关领域管理工作的高层次应用型专门人才。</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2.基本要求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热爱祖国和中华文化，自觉拥护祖国统一、拥护“一国两制”，自愿为祖国和平统一做贡献；遵守法律法规，恪守社会公德、新闻传播职业道德和学术规范；具有国家认同意识、新闻职业理想和社会责任感。</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（2）掌握扎实的新闻专业理论知识，具备较扎实的人文社科知识素养和新闻传播专业素养。</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（3）具有良好的思辨意识和对知识的分类整理能力、口头和文字表达能力以及社会实践能力和专业实践能力，能满足社会变革、就业竞争和职业发展的需求。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（4）掌握中文和一门外语，具有一定的国际视野，能较熟练地阅读本专业的中外文文献，具有较强的中外文交流能力。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（5）具有自主学习、终身学习能力。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（6）品行端正，身心健康。</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（二）华侨华人及外国留学生</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1.培养目标</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职业需求为导向，突出以实践能力、创新能力和社会责任感为核心的综合素质培养，培养掌握某一特定职业领域坚实的基础理论和宽广的专业知识，具有国际视野、良好的职业素养和较强的解决实际问题的能力，能够承担新闻传播专业或相关领域管理工作的高层次应用型专门人才。</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2.基本要求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（1）热爱中华文化，对中国友好，主动担当中外交流的文化使者，愿为社会发展做出贡献；遵守法律法规，恪守社会公德、新闻传播职业道德和学术规范。</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（2）掌握扎实的新闻专业理论知识，具备较宽广的哲学人文社科知识素养和从事新闻传播实践所需要的专业素养。</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（3）具有良好的思辨意识和对知识的分类整理能力、口头和文字表达能力以及社会实践能力和专业实践能力，能满足社会变革、就业竞争和职业发展的需求。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（4）掌握汉语，具有一定的国际视野，能较熟练地阅读本专业的中文文献，具有较强的中文交流能力。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（5）具有自主学习、终身学习能力。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（6）品行端正，身心健康。</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三、学习年限</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学习形式为全日制，</w:t>
      </w:r>
      <w:r>
        <w:rPr>
          <w:rFonts w:hint="eastAsia" w:ascii="仿宋" w:hAnsi="仿宋" w:eastAsia="仿宋"/>
          <w:color w:val="000000" w:themeColor="text1"/>
          <w:sz w:val="28"/>
          <w:szCs w:val="28"/>
          <w14:textFill>
            <w14:solidFill>
              <w14:schemeClr w14:val="tx1"/>
            </w14:solidFill>
          </w14:textFill>
        </w:rPr>
        <w:t>学制3年。学习年限根据情况可适当延长，最长不得超过5 年。</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四、培养方式</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采用课程学习、专业实践和学位论文相结合的培养方式。课程学习、专业实践和学位论文同等重要。专业学位硕士生的培养采取校内校外“双导师制”，坚持校企合作培养；鼓励学科交叉，鼓励海内外合作培养。</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五、学分要求及课程体系设置</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本专业要求修满35学分，其中公共学位课4学分，专业学位课11学分，非学位课程20学分。非学位课程的各方向选修课，要求硕士生按方向选修至少4门。</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华人及来华留学生毕业时中文能力须达到《国际汉语能力标准》五级水平（HSK5 级）。</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同等学力或跨一级学科考取的硕士生，应在导师指导下，补修3门本学科本科核心课程（具体课程参考本学科本科培养方案），所修课程只登记成绩不计学分。</w:t>
      </w:r>
    </w:p>
    <w:tbl>
      <w:tblPr>
        <w:tblStyle w:val="20"/>
        <w:tblW w:w="9877" w:type="dxa"/>
        <w:jc w:val="center"/>
        <w:tblLayout w:type="fixed"/>
        <w:tblCellMar>
          <w:top w:w="0" w:type="dxa"/>
          <w:left w:w="108" w:type="dxa"/>
          <w:bottom w:w="0" w:type="dxa"/>
          <w:right w:w="108" w:type="dxa"/>
        </w:tblCellMar>
      </w:tblPr>
      <w:tblGrid>
        <w:gridCol w:w="748"/>
        <w:gridCol w:w="1358"/>
        <w:gridCol w:w="3260"/>
        <w:gridCol w:w="567"/>
        <w:gridCol w:w="567"/>
        <w:gridCol w:w="709"/>
        <w:gridCol w:w="850"/>
        <w:gridCol w:w="850"/>
        <w:gridCol w:w="968"/>
      </w:tblGrid>
      <w:tr>
        <w:tblPrEx>
          <w:tblCellMar>
            <w:top w:w="0" w:type="dxa"/>
            <w:left w:w="108" w:type="dxa"/>
            <w:bottom w:w="0" w:type="dxa"/>
            <w:right w:w="108" w:type="dxa"/>
          </w:tblCellMar>
        </w:tblPrEx>
        <w:trPr>
          <w:trHeight w:val="449" w:hRule="atLeast"/>
          <w:tblHeader/>
          <w:jc w:val="center"/>
        </w:trPr>
        <w:tc>
          <w:tcPr>
            <w:tcW w:w="748" w:type="dxa"/>
            <w:tcBorders>
              <w:top w:val="single" w:color="auto" w:sz="4" w:space="0"/>
              <w:left w:val="single" w:color="000000" w:sz="8" w:space="0"/>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类别</w:t>
            </w:r>
          </w:p>
        </w:tc>
        <w:tc>
          <w:tcPr>
            <w:tcW w:w="1358"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课程编号</w:t>
            </w:r>
          </w:p>
        </w:tc>
        <w:tc>
          <w:tcPr>
            <w:tcW w:w="3260"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课程中文名称</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（课程英文名称）</w:t>
            </w:r>
          </w:p>
        </w:tc>
        <w:tc>
          <w:tcPr>
            <w:tcW w:w="567"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时</w:t>
            </w:r>
          </w:p>
        </w:tc>
        <w:tc>
          <w:tcPr>
            <w:tcW w:w="567" w:type="dxa"/>
            <w:tcBorders>
              <w:top w:val="single" w:color="auto" w:sz="4" w:space="0"/>
              <w:left w:val="nil"/>
              <w:bottom w:val="single" w:color="000000" w:sz="4" w:space="0"/>
              <w:right w:val="single" w:color="auto" w:sz="4" w:space="0"/>
            </w:tcBorders>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分</w:t>
            </w:r>
          </w:p>
        </w:tc>
        <w:tc>
          <w:tcPr>
            <w:tcW w:w="709" w:type="dxa"/>
            <w:tcBorders>
              <w:top w:val="single" w:color="auto" w:sz="4" w:space="0"/>
              <w:left w:val="single" w:color="auto" w:sz="4" w:space="0"/>
              <w:bottom w:val="single" w:color="000000" w:sz="4" w:space="0"/>
              <w:right w:val="single" w:color="auto"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开课</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学期</w:t>
            </w:r>
          </w:p>
        </w:tc>
        <w:tc>
          <w:tcPr>
            <w:tcW w:w="850" w:type="dxa"/>
            <w:tcBorders>
              <w:top w:val="single" w:color="auto" w:sz="4" w:space="0"/>
              <w:left w:val="single" w:color="auto" w:sz="4" w:space="0"/>
              <w:bottom w:val="single" w:color="000000" w:sz="4" w:space="0"/>
              <w:right w:val="single" w:color="auto" w:sz="4" w:space="0"/>
            </w:tcBorders>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开课单位</w:t>
            </w:r>
          </w:p>
        </w:tc>
        <w:tc>
          <w:tcPr>
            <w:tcW w:w="85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考核</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方式</w:t>
            </w:r>
          </w:p>
        </w:tc>
        <w:tc>
          <w:tcPr>
            <w:tcW w:w="968" w:type="dxa"/>
            <w:tcBorders>
              <w:top w:val="single" w:color="auto" w:sz="4" w:space="0"/>
              <w:left w:val="nil"/>
              <w:bottom w:val="single" w:color="000000" w:sz="4" w:space="0"/>
              <w:right w:val="single" w:color="000000" w:sz="8"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备注</w:t>
            </w:r>
          </w:p>
        </w:tc>
      </w:tr>
      <w:tr>
        <w:tblPrEx>
          <w:tblCellMar>
            <w:top w:w="0" w:type="dxa"/>
            <w:left w:w="108" w:type="dxa"/>
            <w:bottom w:w="0" w:type="dxa"/>
            <w:right w:w="108" w:type="dxa"/>
          </w:tblCellMar>
        </w:tblPrEx>
        <w:trPr>
          <w:trHeight w:val="436" w:hRule="atLeast"/>
          <w:jc w:val="center"/>
        </w:trPr>
        <w:tc>
          <w:tcPr>
            <w:tcW w:w="748" w:type="dxa"/>
            <w:vMerge w:val="restart"/>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公</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共</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105590ma37</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基础英语</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Basic English</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外国语学院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港澳台侨生必选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105590da14</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中国现代化理论与实践研究</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 xml:space="preserve">Study on Modernization Theory and Practice of </w:t>
            </w:r>
            <w:r>
              <w:rPr>
                <w:rFonts w:hint="eastAsia" w:ascii="仿宋" w:hAnsi="仿宋" w:eastAsia="仿宋" w:cs="宋体"/>
                <w:color w:val="000000" w:themeColor="text1"/>
                <w:sz w:val="21"/>
                <w14:textFill>
                  <w14:solidFill>
                    <w14:schemeClr w14:val="tx1"/>
                  </w14:solidFill>
                </w14:textFill>
              </w:rPr>
              <w:t> </w:t>
            </w:r>
            <w:r>
              <w:rPr>
                <w:rFonts w:ascii="仿宋" w:hAnsi="仿宋" w:eastAsia="仿宋" w:cs="宋体"/>
                <w:color w:val="000000" w:themeColor="text1"/>
                <w:sz w:val="21"/>
                <w14:textFill>
                  <w14:solidFill>
                    <w14:schemeClr w14:val="tx1"/>
                  </w14:solidFill>
                </w14:textFill>
              </w:rPr>
              <w:t>China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马克思主义学院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港澳台侨生必选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105590da15</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汉语</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Chinese Language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华文学院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留学生必选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105590da16</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中国概况</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China Panorama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国际学院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留学生必选</w:t>
            </w:r>
          </w:p>
        </w:tc>
      </w:tr>
      <w:tr>
        <w:tblPrEx>
          <w:tblCellMar>
            <w:top w:w="0" w:type="dxa"/>
            <w:left w:w="108" w:type="dxa"/>
            <w:bottom w:w="0" w:type="dxa"/>
            <w:right w:w="108" w:type="dxa"/>
          </w:tblCellMar>
        </w:tblPrEx>
        <w:trPr>
          <w:trHeight w:val="436"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专</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业</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055200mb09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新闻传播学理论基础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Academic Foundation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055200mb28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新闻传播学研究方法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Research Methods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60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3</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055200mb13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新闻传播政策、法规与伦理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Policy, Regulation and Ethics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sz w:val="21"/>
                <w:lang w:val="en-US" w:eastAsia="zh-CN"/>
                <w14:textFill>
                  <w14:solidFill>
                    <w14:schemeClr w14:val="tx1"/>
                  </w14:solidFill>
                </w14:textFill>
              </w:rPr>
            </w:pPr>
            <w:r>
              <w:rPr>
                <w:rFonts w:hint="eastAsia" w:ascii="仿宋" w:hAnsi="仿宋" w:eastAsia="仿宋" w:cstheme="minorEastAsia"/>
                <w:color w:val="000000" w:themeColor="text1"/>
                <w:sz w:val="21"/>
                <w:lang w:val="en-US" w:eastAsia="zh-CN"/>
                <w14:textFill>
                  <w14:solidFill>
                    <w14:schemeClr w14:val="tx1"/>
                  </w14:solidFill>
                </w14:textFill>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055200mb11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新媒体研究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Study on New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65"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055200mb12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媒介经营与管理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Media Management</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sz w:val="21"/>
                <w:lang w:val="en-US" w:eastAsia="zh-CN"/>
                <w14:textFill>
                  <w14:solidFill>
                    <w14:schemeClr w14:val="tx1"/>
                  </w14:solidFill>
                </w14:textFill>
              </w:rPr>
            </w:pPr>
            <w:r>
              <w:rPr>
                <w:rFonts w:hint="eastAsia" w:ascii="仿宋" w:hAnsi="仿宋" w:eastAsia="仿宋" w:cstheme="minorEastAsia"/>
                <w:color w:val="000000" w:themeColor="text1"/>
                <w:sz w:val="21"/>
                <w:lang w:val="en-US" w:eastAsia="zh-CN"/>
                <w14:textFill>
                  <w14:solidFill>
                    <w14:schemeClr w14:val="tx1"/>
                  </w14:solidFill>
                </w14:textFill>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45"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非</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055300mc09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新闻传播实务前沿讲座</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 xml:space="preserve">Lectures on the </w:t>
            </w:r>
            <w:r>
              <w:rPr>
                <w:rFonts w:hint="eastAsia" w:ascii="仿宋" w:hAnsi="仿宋" w:eastAsia="仿宋" w:cstheme="minorEastAsia"/>
                <w:color w:val="auto"/>
                <w:kern w:val="0"/>
                <w:sz w:val="21"/>
              </w:rPr>
              <w:t xml:space="preserve">Practical </w:t>
            </w:r>
            <w:r>
              <w:rPr>
                <w:rFonts w:ascii="仿宋" w:hAnsi="仿宋" w:eastAsia="仿宋" w:cstheme="minorEastAsia"/>
                <w:color w:val="auto"/>
                <w:kern w:val="0"/>
                <w:sz w:val="21"/>
              </w:rPr>
              <w:t xml:space="preserve">Frontier of </w:t>
            </w:r>
            <w:r>
              <w:rPr>
                <w:rFonts w:hint="eastAsia" w:ascii="仿宋" w:hAnsi="仿宋" w:eastAsia="仿宋" w:cstheme="minorEastAsia"/>
                <w:color w:val="auto"/>
                <w:kern w:val="0"/>
                <w:sz w:val="21"/>
              </w:rPr>
              <w:t>J</w:t>
            </w:r>
            <w:r>
              <w:rPr>
                <w:rFonts w:ascii="仿宋" w:hAnsi="仿宋" w:eastAsia="仿宋" w:cstheme="minorEastAsia"/>
                <w:color w:val="auto"/>
                <w:kern w:val="0"/>
                <w:sz w:val="21"/>
              </w:rPr>
              <w:t>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hint="default" w:ascii="仿宋" w:hAnsi="仿宋" w:eastAsia="仿宋" w:cstheme="minorEastAsia"/>
                <w:color w:val="000000" w:themeColor="text1"/>
                <w:kern w:val="0"/>
                <w:sz w:val="21"/>
                <w:lang w:val="en-US" w:eastAsia="zh-CN"/>
                <w14:textFill>
                  <w14:solidFill>
                    <w14:schemeClr w14:val="tx1"/>
                  </w14:solidFill>
                </w14:textFill>
              </w:rPr>
            </w:pPr>
            <w:r>
              <w:rPr>
                <w:rFonts w:hint="eastAsia" w:ascii="仿宋" w:hAnsi="仿宋" w:eastAsia="仿宋" w:cstheme="minorEastAsia"/>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055300mc19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论文写作与学术规范</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Thesis Writing and Academic Norms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专业实训工作坊</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Professional Training Workshop</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105590md20</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专业实习</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Practical Teaching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80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4</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5-6</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宋体"/>
                <w:color w:val="auto"/>
                <w:sz w:val="21"/>
              </w:rPr>
              <w:t>050300md02</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马克思主义新闻观</w:t>
            </w:r>
          </w:p>
          <w:p>
            <w:pPr>
              <w:spacing w:line="300" w:lineRule="exact"/>
              <w:ind w:firstLine="0" w:firstLineChars="0"/>
              <w:jc w:val="center"/>
              <w:rPr>
                <w:rFonts w:ascii="仿宋" w:hAnsi="仿宋" w:eastAsia="仿宋" w:cstheme="minorEastAsia"/>
                <w:color w:val="000000" w:themeColor="text1"/>
                <w:kern w:val="0"/>
                <w:sz w:val="21"/>
                <w:szCs w:val="21"/>
                <w:lang w:val="en-US" w:eastAsia="zh-CN" w:bidi="ar-SA"/>
                <w14:textFill>
                  <w14:solidFill>
                    <w14:schemeClr w14:val="tx1"/>
                  </w14:solidFill>
                </w14:textFill>
              </w:rPr>
            </w:pPr>
            <w:r>
              <w:rPr>
                <w:rFonts w:ascii="仿宋" w:hAnsi="仿宋" w:eastAsia="仿宋" w:cstheme="minorEastAsia"/>
                <w:color w:val="auto"/>
                <w:kern w:val="0"/>
                <w:sz w:val="21"/>
              </w:rPr>
              <w:t>Marxist View of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2"/>
                <w:sz w:val="21"/>
                <w:szCs w:val="21"/>
                <w:lang w:val="en-US" w:eastAsia="zh-CN" w:bidi="ar-SA"/>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sz w:val="21"/>
              </w:rPr>
              <w:t>各方向</w:t>
            </w:r>
            <w:r>
              <w:rPr>
                <w:rFonts w:hint="eastAsia" w:ascii="仿宋" w:hAnsi="仿宋" w:eastAsia="仿宋" w:cstheme="minorEastAsia"/>
                <w:color w:val="auto"/>
                <w:sz w:val="21"/>
                <w:lang w:eastAsia="zh-CN"/>
              </w:rPr>
              <w:t>选修</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theme="minorEastAsia"/>
                <w:color w:val="auto"/>
                <w:kern w:val="0"/>
                <w:sz w:val="21"/>
              </w:rPr>
              <w:t>055200mc31</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融合新闻理论</w:t>
            </w:r>
          </w:p>
          <w:p>
            <w:pPr>
              <w:widowControl/>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ascii="仿宋" w:hAnsi="仿宋" w:eastAsia="仿宋" w:cstheme="minorEastAsia"/>
                <w:color w:val="auto"/>
                <w:kern w:val="0"/>
                <w:sz w:val="21"/>
              </w:rPr>
              <w:t>Theories of Convergent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32</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融合新闻制作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Convergent News Production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非虚构写作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Non-Fictional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theme="minorEastAsia"/>
                <w:color w:val="auto"/>
                <w:kern w:val="0"/>
                <w:sz w:val="21"/>
              </w:rPr>
              <w:t>055200mc</w:t>
            </w:r>
            <w:r>
              <w:rPr>
                <w:rFonts w:hint="eastAsia" w:ascii="仿宋" w:hAnsi="仿宋" w:eastAsia="仿宋" w:cstheme="minorEastAsia"/>
                <w:color w:val="auto"/>
                <w:kern w:val="0"/>
                <w:sz w:val="21"/>
                <w:lang w:val="en-US" w:eastAsia="zh-CN"/>
              </w:rPr>
              <w:t>60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传播修辞学</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Communication Rhetoric</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36</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新闻评论写作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News Commentary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theme="minorEastAsia"/>
                <w:b w:val="0"/>
                <w:bCs/>
                <w:color w:val="auto"/>
                <w:kern w:val="0"/>
                <w:sz w:val="21"/>
              </w:rPr>
              <w:t>055200mc44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媒介文化</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Media Culture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b w:val="0"/>
                <w:bCs/>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theme="minorEastAsia"/>
                <w:color w:val="auto"/>
                <w:kern w:val="0"/>
                <w:sz w:val="21"/>
                <w:lang w:val="en-US" w:eastAsia="zh-CN"/>
              </w:rPr>
              <w:t>055200mc78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hint="eastAsia" w:ascii="仿宋" w:hAnsi="仿宋" w:eastAsia="仿宋" w:cstheme="minorEastAsia"/>
                <w:color w:val="auto"/>
                <w:kern w:val="0"/>
                <w:sz w:val="21"/>
              </w:rPr>
            </w:pPr>
            <w:r>
              <w:rPr>
                <w:rFonts w:hint="eastAsia" w:ascii="仿宋" w:hAnsi="仿宋" w:eastAsia="仿宋" w:cstheme="minorEastAsia"/>
                <w:color w:val="auto"/>
                <w:kern w:val="0"/>
                <w:sz w:val="21"/>
              </w:rPr>
              <w:t xml:space="preserve">视听传播 </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Audio-visual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b w:val="0"/>
                <w:bCs/>
                <w:color w:val="auto"/>
                <w:kern w:val="0"/>
                <w:sz w:val="21"/>
                <w:szCs w:val="21"/>
                <w:lang w:val="en-US" w:eastAsia="zh-CN" w:bidi="ar-SA"/>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b w:val="0"/>
                <w:bCs/>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050301mc36</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广告理论与实务</w:t>
            </w:r>
          </w:p>
          <w:p>
            <w:pPr>
              <w:spacing w:line="28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Theories and Practices of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数字营销传播理论与实务</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Theories and Practices of Digital Marketing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050302mc18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品牌战略与传播研究</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Study of Branding Strategy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713"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0503z1mc03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消费者行为研究</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Study of Consumer Behaviors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数据挖掘与应用</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Data Mining and Application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055200mc40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计算广告学</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Computational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055200mc79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数据挖掘与分析</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 xml:space="preserve">Data </w:t>
            </w:r>
            <w:r>
              <w:rPr>
                <w:rFonts w:ascii="仿宋" w:hAnsi="仿宋" w:eastAsia="仿宋" w:cstheme="minorEastAsia"/>
                <w:color w:val="auto"/>
                <w:kern w:val="0"/>
                <w:sz w:val="21"/>
              </w:rPr>
              <w:t>M</w:t>
            </w:r>
            <w:r>
              <w:rPr>
                <w:rFonts w:hint="eastAsia" w:ascii="仿宋" w:hAnsi="仿宋" w:eastAsia="仿宋" w:cstheme="minorEastAsia"/>
                <w:color w:val="auto"/>
                <w:kern w:val="0"/>
                <w:sz w:val="21"/>
              </w:rPr>
              <w:t xml:space="preserve">ining and </w:t>
            </w:r>
            <w:r>
              <w:rPr>
                <w:rFonts w:ascii="仿宋" w:hAnsi="仿宋" w:eastAsia="仿宋" w:cstheme="minorEastAsia"/>
                <w:color w:val="auto"/>
                <w:kern w:val="0"/>
                <w:sz w:val="21"/>
              </w:rPr>
              <w:t>A</w:t>
            </w:r>
            <w:r>
              <w:rPr>
                <w:rFonts w:hint="eastAsia" w:ascii="仿宋" w:hAnsi="仿宋" w:eastAsia="仿宋" w:cstheme="minorEastAsia"/>
                <w:color w:val="auto"/>
                <w:kern w:val="0"/>
                <w:sz w:val="21"/>
              </w:rPr>
              <w:t>nalysis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计算传播学研究方法和前沿</w:t>
            </w:r>
            <w:r>
              <w:rPr>
                <w:rFonts w:ascii="仿宋" w:hAnsi="仿宋" w:eastAsia="仿宋" w:cstheme="minorEastAsia"/>
                <w:color w:val="auto"/>
                <w:kern w:val="0"/>
                <w:sz w:val="21"/>
              </w:rPr>
              <w:t xml:space="preserve">Computational </w:t>
            </w:r>
            <w:r>
              <w:rPr>
                <w:rFonts w:hint="eastAsia" w:ascii="仿宋" w:hAnsi="仿宋" w:eastAsia="仿宋" w:cstheme="minorEastAsia"/>
                <w:color w:val="auto"/>
                <w:kern w:val="0"/>
                <w:sz w:val="21"/>
              </w:rPr>
              <w:t>C</w:t>
            </w:r>
            <w:r>
              <w:rPr>
                <w:rFonts w:ascii="仿宋" w:hAnsi="仿宋" w:eastAsia="仿宋" w:cstheme="minorEastAsia"/>
                <w:color w:val="auto"/>
                <w:kern w:val="0"/>
                <w:sz w:val="21"/>
              </w:rPr>
              <w:t xml:space="preserve">ommunication </w:t>
            </w:r>
            <w:r>
              <w:rPr>
                <w:rFonts w:hint="eastAsia" w:ascii="仿宋" w:hAnsi="仿宋" w:eastAsia="仿宋" w:cstheme="minorEastAsia"/>
                <w:color w:val="auto"/>
                <w:kern w:val="0"/>
                <w:sz w:val="21"/>
              </w:rPr>
              <w:t>R</w:t>
            </w:r>
            <w:r>
              <w:rPr>
                <w:rFonts w:ascii="仿宋" w:hAnsi="仿宋" w:eastAsia="仿宋" w:cstheme="minorEastAsia"/>
                <w:color w:val="auto"/>
                <w:kern w:val="0"/>
                <w:sz w:val="21"/>
              </w:rPr>
              <w:t xml:space="preserve">esearch </w:t>
            </w:r>
            <w:r>
              <w:rPr>
                <w:rFonts w:hint="eastAsia" w:ascii="仿宋" w:hAnsi="仿宋" w:eastAsia="仿宋" w:cstheme="minorEastAsia"/>
                <w:color w:val="auto"/>
                <w:kern w:val="0"/>
                <w:sz w:val="21"/>
              </w:rPr>
              <w:t>M</w:t>
            </w:r>
            <w:r>
              <w:rPr>
                <w:rFonts w:ascii="仿宋" w:hAnsi="仿宋" w:eastAsia="仿宋" w:cstheme="minorEastAsia"/>
                <w:color w:val="auto"/>
                <w:kern w:val="0"/>
                <w:sz w:val="21"/>
              </w:rPr>
              <w:t xml:space="preserve">ethods and </w:t>
            </w:r>
            <w:r>
              <w:rPr>
                <w:rFonts w:hint="eastAsia" w:ascii="仿宋" w:hAnsi="仿宋" w:eastAsia="仿宋" w:cstheme="minorEastAsia"/>
                <w:color w:val="auto"/>
                <w:kern w:val="0"/>
                <w:sz w:val="21"/>
              </w:rPr>
              <w:t>A</w:t>
            </w:r>
            <w:r>
              <w:rPr>
                <w:rFonts w:ascii="仿宋" w:hAnsi="仿宋" w:eastAsia="仿宋" w:cstheme="minorEastAsia"/>
                <w:color w:val="auto"/>
                <w:kern w:val="0"/>
                <w:sz w:val="21"/>
              </w:rPr>
              <w:t>dvances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055200mc65</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健康传播</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Health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数据新闻</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Data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社会网络与社会计算</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Social Network &amp; Social Computing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社交用户画像分析</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User Profile Analysis on Social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055200mc55</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国际传播理论</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Theories of International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055200mc57</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公共外交</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Public Diplomacy</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055200mc87</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全球危机传播</w:t>
            </w:r>
          </w:p>
          <w:p>
            <w:pPr>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 xml:space="preserve">Global Crisis </w:t>
            </w:r>
            <w:r>
              <w:rPr>
                <w:rFonts w:ascii="仿宋" w:hAnsi="仿宋" w:eastAsia="仿宋"/>
                <w:color w:val="auto"/>
                <w:sz w:val="21"/>
              </w:rPr>
              <w:t>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国际关系 </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International Relations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英文学术写作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Academic English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435"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055200mc56</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跨文化传播</w:t>
            </w:r>
          </w:p>
          <w:p>
            <w:pPr>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Intercultural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435"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 w:val="21"/>
              </w:rPr>
              <w:t>055200mc65</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健康传播</w:t>
            </w:r>
            <w:r>
              <w:rPr>
                <w:rFonts w:hint="eastAsia" w:ascii="仿宋" w:hAnsi="仿宋" w:eastAsia="仿宋" w:cstheme="minorEastAsia"/>
                <w:color w:val="auto"/>
                <w:kern w:val="0"/>
                <w:sz w:val="21"/>
                <w:lang w:eastAsia="zh-CN"/>
              </w:rPr>
              <w:t>（出版理论与实务）</w:t>
            </w:r>
          </w:p>
          <w:p>
            <w:pPr>
              <w:spacing w:line="28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Health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仿宋" w:hAnsi="仿宋" w:eastAsia="仿宋" w:cstheme="minorEastAsia"/>
                <w:color w:val="auto"/>
                <w:kern w:val="2"/>
                <w:sz w:val="21"/>
                <w:szCs w:val="21"/>
                <w:lang w:val="en-US" w:eastAsia="zh-CN" w:bidi="ar-SA"/>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方向</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055200mc61</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中国媒体研究</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Study on Chinese Media</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1</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留学生必选课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055200mc62</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港澳台媒体研究</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Study on Media in Hong Kong, Macau and Taiwan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1</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港澳台侨生必选课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055200mc63</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海外华文传媒</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Overseas Chinese Media</w:t>
            </w:r>
          </w:p>
        </w:tc>
        <w:tc>
          <w:tcPr>
            <w:tcW w:w="567"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40</w:t>
            </w:r>
          </w:p>
        </w:tc>
        <w:tc>
          <w:tcPr>
            <w:tcW w:w="567"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709"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3</w:t>
            </w:r>
          </w:p>
        </w:tc>
        <w:tc>
          <w:tcPr>
            <w:tcW w:w="850"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留学生、港澳台侨生选修课</w:t>
            </w:r>
          </w:p>
        </w:tc>
      </w:tr>
    </w:tbl>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说明</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课程成绩采用百分制。学位课程成绩70 分或以上为合格，可以获得相应学分；非学位课程成绩 60 分为合格，可以获得相应学分。</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六、培养计划</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硕士生应在入学后3个月内，根据入学当年本专业学位类别的培养方案，在导师的指导下，结合研究方向和自身特点，制订个人培养计划，并录入研究生教育综合管理系统中，经导师确认后，由学院批准备案。个人培养计划一经制订，在培养过程中必须严格按计划执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七、开题报告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专业学位硕士生入学后，应在导师指导下拟定研究方向和论文题目，最迟于第三学期完成学位论文开题报告。开题报告具体要求按暨南大学有关规定执行。</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开题报告应就选题意义、国内外研究综述、主要研究内容、预期目标、研究方案等做出科学论证，写出书面报告，并在学位点内进行公开报告，听取专家意见并进行必要的修改和调整。</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八、专业实践</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专业实践为必修环节，计4学分。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届本科毕业生及未在新闻与传播行业工作满一年以上的非应届本科毕业生攻读本专业学位期间，必须保证参加不少于6个月的专业实习；已在新闻与传播各行业工作满一年以上的非应届本科毕业生攻读本专业学位期间，不必安排专门的专业实习，但应按专业实习的要求提交相关作品及心得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专业实习具体要求按照暨南大学相关实践管理规定执行。经考核合格后取得相应学分。</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九、中期考核</w:t>
      </w:r>
    </w:p>
    <w:p>
      <w:pPr>
        <w:spacing w:line="4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中期考核最迟于第四学期完成。结合对研究方法、专业课程、必读书目内容和论文撰写情况进行笔试和面试，具体要求按暨南大学有关规定执行。</w:t>
      </w:r>
    </w:p>
    <w:p>
      <w:pPr>
        <w:spacing w:line="4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中期考核旨在对照培养方案的要求，从德智体美劳各方面对研究生的学业进展情况进行全面检查，并对其后续学业安排提出意见、建议和要求。本学科中期考核每年安排两次，分别在每年的5月和11月进行，学生可自由选择参加。硕士研究生二次考核仍为不合格者一般给予退学处理。</w:t>
      </w:r>
    </w:p>
    <w:p>
      <w:pPr>
        <w:spacing w:line="4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十、学位（毕业）论文</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（一）关于新闻与传播专业硕士学位（毕业）论文考核形式的说明</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考核目的：重点考核新闻与传播专业硕士运用所学专业理论知识、方法，分析和解决实际问题的能力，全面检验专业学位硕士研究生的专业学习能力、新闻报道能力、社会调研能力和学术研究能力。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案例研究。适用于所有专业方向。要求研究生针对政府部门、企事业单位和媒体公司的创新性传播实践进行案例研究，案例研究要在充分调研和访谈的基础上，总结梳理传播实践的经验和问题，并对某一传播领域未来的改革和发展趋势提出建设性的意见。案例研究报告字数不少于35000字。</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专业作品。适用于融合新闻方向。要求研究生在媒体实习期间，作为主要参与人完成并制作一篇有较大社会影响的深度报道，并能结合报道的选题策划、报道手法和特色撰写一篇不少于30000字的新闻业务研讨性论文；或作为主要参与人完成一部不少于 30 分钟的音视频作品，并结合作品的选题策划叙事技巧以及视听语言特色等要素撰写一篇不少于30000字的作品研究报告。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毕业设计。适用于融合新闻、数字营销传播和计算传播方向。融合新闻方向要求研究生结合具体项目，完成一篇以用户交互为主要特征，发布方与用户方形成完整新闻传播链条的新媒体创意互动作品设计，以及一篇不少于20000字的作品设计理念和实施方案报告；数字营销传播方向要求研究生根据某企业品牌传播或市场推广的需求，完成一篇不少于30000字的品牌传播或营销策划方案，方案应包括项目概述、项目背景、项目调研、项目策划、项目执行和项目评估等内容；计算传播方向要求研究生根据毕业设计的方向，结合具体项目，完成一篇不少于30000字的项目说明，说明应包括项目概述、项目背景、项目设计、项目过程文档、项目评估、用户手册等内容。</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（二）学位（毕业）论文预答辩与答辩要求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硕士生在正式论文答辩之前必须通过预答辩环节。学位（毕业）论文的预答辩、答辩等工作按《暨南大学学位授予工作实施细则》及本学位点相关规定执行。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十一、在学期间科研成果要求  </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按照新闻与传播专业学位类别教育指导委员会有关规定执行。  </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十二、毕业与授予学位标准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毕业和授予学位授予标准按照学校有关规定进行。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十三、必读书目</w:t>
      </w:r>
    </w:p>
    <w:tbl>
      <w:tblPr>
        <w:tblStyle w:val="20"/>
        <w:tblW w:w="9600" w:type="dxa"/>
        <w:jc w:val="center"/>
        <w:tblLayout w:type="fixed"/>
        <w:tblCellMar>
          <w:top w:w="0" w:type="dxa"/>
          <w:left w:w="108" w:type="dxa"/>
          <w:bottom w:w="0" w:type="dxa"/>
          <w:right w:w="108" w:type="dxa"/>
        </w:tblCellMar>
      </w:tblPr>
      <w:tblGrid>
        <w:gridCol w:w="691"/>
        <w:gridCol w:w="2551"/>
        <w:gridCol w:w="2977"/>
        <w:gridCol w:w="2410"/>
        <w:gridCol w:w="971"/>
      </w:tblGrid>
      <w:tr>
        <w:tblPrEx>
          <w:tblCellMar>
            <w:top w:w="0" w:type="dxa"/>
            <w:left w:w="108" w:type="dxa"/>
            <w:bottom w:w="0" w:type="dxa"/>
            <w:right w:w="108" w:type="dxa"/>
          </w:tblCellMar>
        </w:tblPrEx>
        <w:trPr>
          <w:trHeight w:val="36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书名</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作者</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出版社</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出版日期</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中国新闻事业通史</w:t>
            </w:r>
          </w:p>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（第1-3卷）</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方汉奇</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1996年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新闻理论十讲</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陈力丹</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2008年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新闻观念论</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杨保军</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新闻学概论（第七版）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李良荣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新报刊史书写</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黄旦</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上海交通大学出版社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018</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大众传播理论：范式与流派</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刘海龙</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008</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记忆的纹理：媒介、创伤与南京大屠杀</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李红涛，黄顺铭</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017</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质的研究方法与社会科学研究</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陈向明</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教育科学出版社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006</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新闻事业经营管理</w:t>
            </w:r>
          </w:p>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（修订版）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吴文虎，林如鹏，支庭荣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南方报业战略</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范以锦</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南方日报出版社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2005年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媒介管理（第三版）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支庭荣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2009年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融合新闻学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刘涛</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话语·叙事·伦理：当代广告与网络传播的审思与批判</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杨先顺</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020</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西方媒介文化理论研究</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曾一果</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学习出版社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2017年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网络新闻实务（第二版）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罗昕</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新闻社会学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（美）迈克尔·舒德森</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华夏出版社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社会研究方法（第十一版）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（美）艾尔</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巴比（</w:t>
            </w:r>
            <w:r>
              <w:rPr>
                <w:rFonts w:hint="eastAsia" w:ascii="仿宋" w:hAnsi="仿宋" w:eastAsia="仿宋" w:cs="宋体"/>
                <w:color w:val="000000" w:themeColor="text1"/>
                <w:kern w:val="0"/>
                <w:sz w:val="20"/>
                <w:szCs w:val="20"/>
                <w14:textFill>
                  <w14:solidFill>
                    <w14:schemeClr w14:val="tx1"/>
                  </w14:solidFill>
                </w14:textFill>
              </w:rPr>
              <w:t>Earl</w:t>
            </w:r>
            <w:r>
              <w:rPr>
                <w:rFonts w:hint="eastAsia" w:ascii="宋体" w:hAnsi="宋体" w:eastAsia="宋体" w:cs="宋体"/>
                <w:color w:val="000000" w:themeColor="text1"/>
                <w:kern w:val="0"/>
                <w:sz w:val="20"/>
                <w:szCs w:val="20"/>
                <w14:textFill>
                  <w14:solidFill>
                    <w14:schemeClr w14:val="tx1"/>
                  </w14:solidFill>
                </w14:textFill>
              </w:rPr>
              <w:t> </w:t>
            </w:r>
            <w:r>
              <w:rPr>
                <w:rFonts w:hint="eastAsia" w:ascii="仿宋" w:hAnsi="仿宋" w:eastAsia="仿宋" w:cs="仿宋"/>
                <w:color w:val="000000" w:themeColor="text1"/>
                <w:kern w:val="0"/>
                <w:sz w:val="20"/>
                <w:szCs w:val="20"/>
                <w14:textFill>
                  <w14:solidFill>
                    <w14:schemeClr w14:val="tx1"/>
                  </w14:solidFill>
                </w14:textFill>
              </w:rPr>
              <w:t>Babbie</w:t>
            </w:r>
            <w:r>
              <w:rPr>
                <w:rFonts w:hint="eastAsia" w:ascii="仿宋" w:hAnsi="仿宋" w:eastAsia="仿宋" w:cs="宋体"/>
                <w:color w:val="000000" w:themeColor="text1"/>
                <w:kern w:val="0"/>
                <w:sz w:val="20"/>
                <w:szCs w:val="20"/>
                <w14:textFill>
                  <w14:solidFill>
                    <w14:schemeClr w14:val="tx1"/>
                  </w14:solidFill>
                </w14:textFill>
              </w:rPr>
              <w:t>）著，邱泽奇译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"http://search.dangdang.com/?key3=%BB%AA%CF%C4%B3%F6%B0%E6%C9%E7&amp;medium=01&amp;category_path=01.00.00.00.00.00" \o "http://search.dangdang.com/?key3=%BB%AA%CF%C4%B3%F6%B0%E6%C9%E7&amp;medium=01&amp;category_path=01.00.00.00.00.00"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华夏出版社</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2018年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普通媒介学教程</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（法） 雷吉斯·德布雷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媒介融合：网络传播、大众传播和人际传播的三重维度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（丹麦）延森</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社会学的想象力</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"https://book.douban.com/search/C.%E8%B5%96%E7%89%B9%C2%B7%E7%B1%B3%E5%B0%94%E6%96%AF" \o "https://book.douban.com/search/C.%E8%B5%96%E7%89%B9%C2%B7%E7%B1%B3%E5%B0%94%E6%96%AF"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（美）赖特·米尔斯</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生活·读书·新知三联书店</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对空言说：传播的观念史</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"http://search.dangdang.com/?key2=%B1%CB%B5%C3%CB%B9&amp;medium=01&amp;category_path=01.00.00.00.00.00" \o "http://search.dangdang.com/?key2=%B1%CB%B5%C3%CB%B9&amp;medium=01&amp;category_path=01.00.00.00.00.00"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（美）彼得斯</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"http://search.dangdang.com/?key3=%C9%CF%BA%A3%D2%EB%CE%C4%B3%F6%B0%E6%C9%E7&amp;medium=01&amp;category_path=01.00.00.00.00.00" \o "http://search.dangdang.com/?key3=%C9%CF%BA%A3%D2%EB%CE%C4%B3%F6%B0%E6%C9%E7&amp;medium=01&amp;category_path=01.00.00.00.00.00"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上海译文出版社</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2017年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网络社会的崛起</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（美）曼纽尔</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卡斯特著，夏铸九、</w:t>
            </w:r>
            <w:r>
              <w:rPr>
                <w:rFonts w:hint="eastAsia" w:ascii="仿宋" w:hAnsi="仿宋" w:eastAsia="仿宋" w:cs="宋体"/>
                <w:color w:val="000000" w:themeColor="text1"/>
                <w:kern w:val="0"/>
                <w:sz w:val="20"/>
                <w:szCs w:val="20"/>
                <w14:textFill>
                  <w14:solidFill>
                    <w14:schemeClr w14:val="tx1"/>
                  </w14:solidFill>
                </w14:textFill>
              </w:rPr>
              <w:t xml:space="preserve"> 王志弘译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社会科学文献出版社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新媒介：关键概念</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（英）尼古拉斯·盖恩、戴维·比尔著，刘君、周竞男译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2015年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文化理论与大众文化导论（第七版）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（英）约翰·斯道雷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2019年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国际传播理论前沿</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（美）迈赫迪·萨马迪</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理解国际新闻(批判性导论)</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（荷）雅普·梵·吉内肯</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传播统计法：定量研究操作指南（第五版）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（美）威廉姆斯、蒙日著，苏林森译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网络素养：数字公民、集体智慧和联网的力量</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（美）霍华德</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莱茵戈德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电子工业出版社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2013年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大数据营销：如何让营销更具吸引力</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（美）丽莎</w:t>
            </w:r>
            <w:r>
              <w:rPr>
                <w:rFonts w:hint="eastAsia" w:ascii="MS Mincho" w:hAnsi="MS Mincho" w:eastAsia="MS Mincho" w:cs="MS Mincho"/>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亚瑟</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中信出版社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广告与营销策划</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（美）阿伦斯</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人民邮电出版社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2013年</w:t>
            </w:r>
          </w:p>
        </w:tc>
      </w:tr>
    </w:tbl>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十四、其他要求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（一）硕士生在第1-5学期，应参加不少于15次学科前沿讲座或学院举办的其他学术会议、大型活动等，不计学分。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（二）本培养方案适用于2023级及以后新闻与传播硕士专业学位研究生。</w:t>
      </w:r>
    </w:p>
    <w:p>
      <w:pPr>
        <w:spacing w:line="440" w:lineRule="exact"/>
        <w:ind w:firstLine="198" w:firstLineChars="62"/>
        <w:jc w:val="left"/>
        <w:rPr>
          <w:rFonts w:hint="eastAsia"/>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73" w:firstLineChars="62"/>
        <w:jc w:val="left"/>
        <w:rPr>
          <w:rFonts w:ascii="仿宋" w:hAnsi="仿宋" w:eastAsia="仿宋"/>
          <w:color w:val="000000" w:themeColor="text1"/>
          <w:sz w:val="28"/>
          <w:szCs w:val="28"/>
          <w14:textFill>
            <w14:solidFill>
              <w14:schemeClr w14:val="tx1"/>
            </w14:solidFill>
          </w14:textFill>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985" w:left="1418" w:header="851" w:footer="130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966233"/>
    </w:sdtPr>
    <w:sdtContent>
      <w:p>
        <w:pPr>
          <w:pStyle w:val="15"/>
          <w:ind w:firstLine="360"/>
          <w:jc w:val="center"/>
        </w:pPr>
        <w:r>
          <w:fldChar w:fldCharType="begin"/>
        </w:r>
        <w:r>
          <w:instrText xml:space="preserve">PAGE   \* MERGEFORMAT</w:instrText>
        </w:r>
        <w:r>
          <w:fldChar w:fldCharType="separate"/>
        </w:r>
        <w:r>
          <w:rPr>
            <w:lang w:val="zh-CN"/>
          </w:rPr>
          <w:t>11</w:t>
        </w:r>
        <w:r>
          <w:fldChar w:fldCharType="end"/>
        </w:r>
      </w:p>
    </w:sdtContent>
  </w:sdt>
  <w:p>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94770"/>
    </w:sdtPr>
    <w:sdtContent>
      <w:p>
        <w:pPr>
          <w:pStyle w:val="15"/>
          <w:ind w:firstLine="360"/>
          <w:jc w:val="center"/>
        </w:pPr>
        <w:r>
          <w:fldChar w:fldCharType="begin"/>
        </w:r>
        <w:r>
          <w:instrText xml:space="preserve">PAGE   \* MERGEFORMAT</w:instrText>
        </w:r>
        <w:r>
          <w:fldChar w:fldCharType="separate"/>
        </w:r>
        <w:r>
          <w:rPr>
            <w:lang w:val="zh-CN"/>
          </w:rPr>
          <w:t>10</w:t>
        </w:r>
        <w:r>
          <w:fldChar w:fldCharType="end"/>
        </w:r>
      </w:p>
    </w:sdtContent>
  </w:sdt>
  <w:p>
    <w:pPr>
      <w:pStyle w:val="15"/>
      <w:ind w:firstLine="5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C75C59"/>
    <w:rsid w:val="0000078D"/>
    <w:rsid w:val="000033CB"/>
    <w:rsid w:val="00003B86"/>
    <w:rsid w:val="00003EA3"/>
    <w:rsid w:val="0000571A"/>
    <w:rsid w:val="00006735"/>
    <w:rsid w:val="00011890"/>
    <w:rsid w:val="000125B2"/>
    <w:rsid w:val="00020D18"/>
    <w:rsid w:val="000300B9"/>
    <w:rsid w:val="00030645"/>
    <w:rsid w:val="00031B16"/>
    <w:rsid w:val="000323D5"/>
    <w:rsid w:val="00041A94"/>
    <w:rsid w:val="00047803"/>
    <w:rsid w:val="00056E29"/>
    <w:rsid w:val="000576B4"/>
    <w:rsid w:val="00062E3C"/>
    <w:rsid w:val="0006592A"/>
    <w:rsid w:val="00072513"/>
    <w:rsid w:val="00072A9B"/>
    <w:rsid w:val="0007696B"/>
    <w:rsid w:val="00085A0C"/>
    <w:rsid w:val="00094696"/>
    <w:rsid w:val="000A4C68"/>
    <w:rsid w:val="000B127E"/>
    <w:rsid w:val="000B2C02"/>
    <w:rsid w:val="000B4C83"/>
    <w:rsid w:val="000B64F5"/>
    <w:rsid w:val="000B7D84"/>
    <w:rsid w:val="000C080D"/>
    <w:rsid w:val="000C719F"/>
    <w:rsid w:val="000D2E0F"/>
    <w:rsid w:val="000E74A9"/>
    <w:rsid w:val="000F49F9"/>
    <w:rsid w:val="00102BB8"/>
    <w:rsid w:val="00105D87"/>
    <w:rsid w:val="00107363"/>
    <w:rsid w:val="00112395"/>
    <w:rsid w:val="0011347C"/>
    <w:rsid w:val="00123610"/>
    <w:rsid w:val="0012733F"/>
    <w:rsid w:val="0013137D"/>
    <w:rsid w:val="00137D46"/>
    <w:rsid w:val="0014708D"/>
    <w:rsid w:val="00147ADA"/>
    <w:rsid w:val="00150B17"/>
    <w:rsid w:val="001520F5"/>
    <w:rsid w:val="00152CA7"/>
    <w:rsid w:val="0015347B"/>
    <w:rsid w:val="00155E21"/>
    <w:rsid w:val="001620E2"/>
    <w:rsid w:val="00170CD2"/>
    <w:rsid w:val="00175031"/>
    <w:rsid w:val="001848A4"/>
    <w:rsid w:val="00191182"/>
    <w:rsid w:val="001A70F9"/>
    <w:rsid w:val="001B3F3F"/>
    <w:rsid w:val="001B738F"/>
    <w:rsid w:val="001B73C7"/>
    <w:rsid w:val="001C11E9"/>
    <w:rsid w:val="001C3DB2"/>
    <w:rsid w:val="001C4831"/>
    <w:rsid w:val="001C5674"/>
    <w:rsid w:val="001D054D"/>
    <w:rsid w:val="001D2E4B"/>
    <w:rsid w:val="001D4025"/>
    <w:rsid w:val="001D6C87"/>
    <w:rsid w:val="001E1223"/>
    <w:rsid w:val="001E42EC"/>
    <w:rsid w:val="001E4BDA"/>
    <w:rsid w:val="001E7845"/>
    <w:rsid w:val="00200FC0"/>
    <w:rsid w:val="00203652"/>
    <w:rsid w:val="002111EC"/>
    <w:rsid w:val="0021350C"/>
    <w:rsid w:val="002148BE"/>
    <w:rsid w:val="0021496D"/>
    <w:rsid w:val="00216D5D"/>
    <w:rsid w:val="00223531"/>
    <w:rsid w:val="0023190D"/>
    <w:rsid w:val="00231F73"/>
    <w:rsid w:val="002359D0"/>
    <w:rsid w:val="00243FC7"/>
    <w:rsid w:val="002447DD"/>
    <w:rsid w:val="00247174"/>
    <w:rsid w:val="0024769D"/>
    <w:rsid w:val="00252D11"/>
    <w:rsid w:val="00253EFA"/>
    <w:rsid w:val="002546F3"/>
    <w:rsid w:val="0025582F"/>
    <w:rsid w:val="00256390"/>
    <w:rsid w:val="00260E1A"/>
    <w:rsid w:val="00261E73"/>
    <w:rsid w:val="00267704"/>
    <w:rsid w:val="00271CA4"/>
    <w:rsid w:val="0027323A"/>
    <w:rsid w:val="002747DB"/>
    <w:rsid w:val="002758D1"/>
    <w:rsid w:val="002760C2"/>
    <w:rsid w:val="00281A9C"/>
    <w:rsid w:val="0028399C"/>
    <w:rsid w:val="002840A6"/>
    <w:rsid w:val="002911B6"/>
    <w:rsid w:val="002960DC"/>
    <w:rsid w:val="002A279A"/>
    <w:rsid w:val="002A4734"/>
    <w:rsid w:val="002A6C9F"/>
    <w:rsid w:val="002B052F"/>
    <w:rsid w:val="002B41E1"/>
    <w:rsid w:val="002B48B3"/>
    <w:rsid w:val="002C60CA"/>
    <w:rsid w:val="002D0257"/>
    <w:rsid w:val="002D02EE"/>
    <w:rsid w:val="002E025C"/>
    <w:rsid w:val="002E1AA4"/>
    <w:rsid w:val="002E2D91"/>
    <w:rsid w:val="002E3D50"/>
    <w:rsid w:val="002E51E6"/>
    <w:rsid w:val="002E5CCB"/>
    <w:rsid w:val="002F228F"/>
    <w:rsid w:val="002F40D5"/>
    <w:rsid w:val="002F7283"/>
    <w:rsid w:val="00301776"/>
    <w:rsid w:val="00303D9B"/>
    <w:rsid w:val="003067B5"/>
    <w:rsid w:val="00312E92"/>
    <w:rsid w:val="003173EE"/>
    <w:rsid w:val="003333E8"/>
    <w:rsid w:val="00336DD8"/>
    <w:rsid w:val="0034331C"/>
    <w:rsid w:val="00350F03"/>
    <w:rsid w:val="00354557"/>
    <w:rsid w:val="0035472E"/>
    <w:rsid w:val="00357DE5"/>
    <w:rsid w:val="0036408C"/>
    <w:rsid w:val="00364625"/>
    <w:rsid w:val="00366427"/>
    <w:rsid w:val="003700D5"/>
    <w:rsid w:val="00370672"/>
    <w:rsid w:val="003716F3"/>
    <w:rsid w:val="003803EF"/>
    <w:rsid w:val="00385763"/>
    <w:rsid w:val="00386936"/>
    <w:rsid w:val="00391111"/>
    <w:rsid w:val="0039129A"/>
    <w:rsid w:val="003A28C2"/>
    <w:rsid w:val="003B35EB"/>
    <w:rsid w:val="003B395E"/>
    <w:rsid w:val="003B4A02"/>
    <w:rsid w:val="003B6299"/>
    <w:rsid w:val="003B6B6F"/>
    <w:rsid w:val="003B792F"/>
    <w:rsid w:val="003C0548"/>
    <w:rsid w:val="003C1092"/>
    <w:rsid w:val="003D0BAD"/>
    <w:rsid w:val="003D73EF"/>
    <w:rsid w:val="003E0B49"/>
    <w:rsid w:val="003E45E1"/>
    <w:rsid w:val="003E7B07"/>
    <w:rsid w:val="003E7E41"/>
    <w:rsid w:val="003F1C9A"/>
    <w:rsid w:val="003F1FD3"/>
    <w:rsid w:val="003F334F"/>
    <w:rsid w:val="003F7EED"/>
    <w:rsid w:val="00406811"/>
    <w:rsid w:val="004161D1"/>
    <w:rsid w:val="0042038B"/>
    <w:rsid w:val="00421D43"/>
    <w:rsid w:val="00422E3D"/>
    <w:rsid w:val="004275C0"/>
    <w:rsid w:val="004501B0"/>
    <w:rsid w:val="00456B21"/>
    <w:rsid w:val="004571F8"/>
    <w:rsid w:val="0047219A"/>
    <w:rsid w:val="00481FFA"/>
    <w:rsid w:val="0048419B"/>
    <w:rsid w:val="0048426C"/>
    <w:rsid w:val="00485248"/>
    <w:rsid w:val="00486CCB"/>
    <w:rsid w:val="004902B3"/>
    <w:rsid w:val="00492288"/>
    <w:rsid w:val="004A08CF"/>
    <w:rsid w:val="004A3212"/>
    <w:rsid w:val="004A6465"/>
    <w:rsid w:val="004B1DA7"/>
    <w:rsid w:val="004C03C7"/>
    <w:rsid w:val="004C095F"/>
    <w:rsid w:val="004D07CC"/>
    <w:rsid w:val="004D43DC"/>
    <w:rsid w:val="004D636F"/>
    <w:rsid w:val="004D6634"/>
    <w:rsid w:val="004F0C88"/>
    <w:rsid w:val="004F2370"/>
    <w:rsid w:val="004F5123"/>
    <w:rsid w:val="0050089A"/>
    <w:rsid w:val="00507D43"/>
    <w:rsid w:val="00512A67"/>
    <w:rsid w:val="00517649"/>
    <w:rsid w:val="00525C8E"/>
    <w:rsid w:val="00536FDE"/>
    <w:rsid w:val="00544503"/>
    <w:rsid w:val="00545049"/>
    <w:rsid w:val="005506DB"/>
    <w:rsid w:val="005530F2"/>
    <w:rsid w:val="005541EF"/>
    <w:rsid w:val="00554957"/>
    <w:rsid w:val="005642D9"/>
    <w:rsid w:val="00565B1D"/>
    <w:rsid w:val="0057076D"/>
    <w:rsid w:val="00574B98"/>
    <w:rsid w:val="005804DD"/>
    <w:rsid w:val="00582652"/>
    <w:rsid w:val="005865E2"/>
    <w:rsid w:val="005A14F0"/>
    <w:rsid w:val="005A5496"/>
    <w:rsid w:val="005B078C"/>
    <w:rsid w:val="005B1B18"/>
    <w:rsid w:val="005C336E"/>
    <w:rsid w:val="005C6DB7"/>
    <w:rsid w:val="005C6E89"/>
    <w:rsid w:val="005D31AD"/>
    <w:rsid w:val="005D5E80"/>
    <w:rsid w:val="005D6D1A"/>
    <w:rsid w:val="005F1C8A"/>
    <w:rsid w:val="005F3FAD"/>
    <w:rsid w:val="005F55A1"/>
    <w:rsid w:val="005F5FE3"/>
    <w:rsid w:val="005F67F8"/>
    <w:rsid w:val="00602BA3"/>
    <w:rsid w:val="00602D6C"/>
    <w:rsid w:val="00604797"/>
    <w:rsid w:val="006056DF"/>
    <w:rsid w:val="00606280"/>
    <w:rsid w:val="006065B4"/>
    <w:rsid w:val="00607046"/>
    <w:rsid w:val="00610F65"/>
    <w:rsid w:val="006133B8"/>
    <w:rsid w:val="00613CCA"/>
    <w:rsid w:val="00615DCD"/>
    <w:rsid w:val="00616E36"/>
    <w:rsid w:val="0061770C"/>
    <w:rsid w:val="006233A2"/>
    <w:rsid w:val="006258BD"/>
    <w:rsid w:val="006354F9"/>
    <w:rsid w:val="00645CA1"/>
    <w:rsid w:val="00646AD5"/>
    <w:rsid w:val="00650380"/>
    <w:rsid w:val="00650466"/>
    <w:rsid w:val="00653873"/>
    <w:rsid w:val="00654A99"/>
    <w:rsid w:val="0065642F"/>
    <w:rsid w:val="00670094"/>
    <w:rsid w:val="006771B0"/>
    <w:rsid w:val="00690036"/>
    <w:rsid w:val="00697B80"/>
    <w:rsid w:val="006A2471"/>
    <w:rsid w:val="006A5D0E"/>
    <w:rsid w:val="006B1727"/>
    <w:rsid w:val="006B2E20"/>
    <w:rsid w:val="006D1C74"/>
    <w:rsid w:val="006E6EB5"/>
    <w:rsid w:val="006F0ECA"/>
    <w:rsid w:val="006F1DED"/>
    <w:rsid w:val="006F389B"/>
    <w:rsid w:val="00700963"/>
    <w:rsid w:val="007040D9"/>
    <w:rsid w:val="0070549A"/>
    <w:rsid w:val="00706D64"/>
    <w:rsid w:val="007104D4"/>
    <w:rsid w:val="00710702"/>
    <w:rsid w:val="007110D8"/>
    <w:rsid w:val="00714EC2"/>
    <w:rsid w:val="00715B3D"/>
    <w:rsid w:val="00717B14"/>
    <w:rsid w:val="00720AAB"/>
    <w:rsid w:val="00722666"/>
    <w:rsid w:val="00723F03"/>
    <w:rsid w:val="00726E3C"/>
    <w:rsid w:val="0072782E"/>
    <w:rsid w:val="00736A73"/>
    <w:rsid w:val="007441E7"/>
    <w:rsid w:val="00746314"/>
    <w:rsid w:val="00751389"/>
    <w:rsid w:val="00751D8B"/>
    <w:rsid w:val="00754BED"/>
    <w:rsid w:val="00761AD8"/>
    <w:rsid w:val="00761CB8"/>
    <w:rsid w:val="00762954"/>
    <w:rsid w:val="0076558B"/>
    <w:rsid w:val="00766A78"/>
    <w:rsid w:val="00767405"/>
    <w:rsid w:val="007701B4"/>
    <w:rsid w:val="007705C7"/>
    <w:rsid w:val="00771E75"/>
    <w:rsid w:val="00780213"/>
    <w:rsid w:val="007917F8"/>
    <w:rsid w:val="007A2D89"/>
    <w:rsid w:val="007A52D8"/>
    <w:rsid w:val="007B2AC0"/>
    <w:rsid w:val="007B5E55"/>
    <w:rsid w:val="007C2B6F"/>
    <w:rsid w:val="007C47EF"/>
    <w:rsid w:val="007C541A"/>
    <w:rsid w:val="007D0633"/>
    <w:rsid w:val="007D25F4"/>
    <w:rsid w:val="00807BB9"/>
    <w:rsid w:val="00813B4C"/>
    <w:rsid w:val="00820D8E"/>
    <w:rsid w:val="00821A5E"/>
    <w:rsid w:val="008220E0"/>
    <w:rsid w:val="00825176"/>
    <w:rsid w:val="008300D7"/>
    <w:rsid w:val="00832238"/>
    <w:rsid w:val="00846070"/>
    <w:rsid w:val="0085449D"/>
    <w:rsid w:val="008547FC"/>
    <w:rsid w:val="0086382E"/>
    <w:rsid w:val="008644CD"/>
    <w:rsid w:val="008674AB"/>
    <w:rsid w:val="00872BCE"/>
    <w:rsid w:val="0088015B"/>
    <w:rsid w:val="00881C53"/>
    <w:rsid w:val="00882CB9"/>
    <w:rsid w:val="008A1335"/>
    <w:rsid w:val="008A2EFC"/>
    <w:rsid w:val="008A457D"/>
    <w:rsid w:val="008C0F5C"/>
    <w:rsid w:val="008D2ACB"/>
    <w:rsid w:val="008E69D6"/>
    <w:rsid w:val="008E77B6"/>
    <w:rsid w:val="008F2902"/>
    <w:rsid w:val="008F4381"/>
    <w:rsid w:val="008F7CEA"/>
    <w:rsid w:val="00900159"/>
    <w:rsid w:val="009004F0"/>
    <w:rsid w:val="00902247"/>
    <w:rsid w:val="00903E9E"/>
    <w:rsid w:val="00907233"/>
    <w:rsid w:val="0091178D"/>
    <w:rsid w:val="00913EF8"/>
    <w:rsid w:val="00914240"/>
    <w:rsid w:val="00917213"/>
    <w:rsid w:val="00920C8B"/>
    <w:rsid w:val="00921717"/>
    <w:rsid w:val="009226DC"/>
    <w:rsid w:val="0092349D"/>
    <w:rsid w:val="00924C5F"/>
    <w:rsid w:val="009277CB"/>
    <w:rsid w:val="009333B2"/>
    <w:rsid w:val="00934FC9"/>
    <w:rsid w:val="00935818"/>
    <w:rsid w:val="00944049"/>
    <w:rsid w:val="009461EB"/>
    <w:rsid w:val="00957111"/>
    <w:rsid w:val="0096135E"/>
    <w:rsid w:val="009659A7"/>
    <w:rsid w:val="00967BE5"/>
    <w:rsid w:val="00971086"/>
    <w:rsid w:val="00973A57"/>
    <w:rsid w:val="00973B64"/>
    <w:rsid w:val="00976C6E"/>
    <w:rsid w:val="00981808"/>
    <w:rsid w:val="009818AD"/>
    <w:rsid w:val="00983FC5"/>
    <w:rsid w:val="00987137"/>
    <w:rsid w:val="00991FD2"/>
    <w:rsid w:val="009978B0"/>
    <w:rsid w:val="009A06F9"/>
    <w:rsid w:val="009A7049"/>
    <w:rsid w:val="009B4AE1"/>
    <w:rsid w:val="009B537F"/>
    <w:rsid w:val="009B5632"/>
    <w:rsid w:val="009C028B"/>
    <w:rsid w:val="009C03ED"/>
    <w:rsid w:val="009C768A"/>
    <w:rsid w:val="009D1D88"/>
    <w:rsid w:val="009D35D9"/>
    <w:rsid w:val="009D6739"/>
    <w:rsid w:val="009E33FD"/>
    <w:rsid w:val="009F0381"/>
    <w:rsid w:val="00A01C71"/>
    <w:rsid w:val="00A02935"/>
    <w:rsid w:val="00A02D5D"/>
    <w:rsid w:val="00A06789"/>
    <w:rsid w:val="00A07D79"/>
    <w:rsid w:val="00A22437"/>
    <w:rsid w:val="00A31E1D"/>
    <w:rsid w:val="00A32EE5"/>
    <w:rsid w:val="00A34B8E"/>
    <w:rsid w:val="00A43039"/>
    <w:rsid w:val="00A46A43"/>
    <w:rsid w:val="00A605AA"/>
    <w:rsid w:val="00A60B52"/>
    <w:rsid w:val="00A657A0"/>
    <w:rsid w:val="00A70021"/>
    <w:rsid w:val="00A72FD8"/>
    <w:rsid w:val="00A758EB"/>
    <w:rsid w:val="00A87362"/>
    <w:rsid w:val="00A91370"/>
    <w:rsid w:val="00AA011E"/>
    <w:rsid w:val="00AC1265"/>
    <w:rsid w:val="00AC4683"/>
    <w:rsid w:val="00AD43AD"/>
    <w:rsid w:val="00AE2E6E"/>
    <w:rsid w:val="00AE48CF"/>
    <w:rsid w:val="00AE49CC"/>
    <w:rsid w:val="00AF3E3D"/>
    <w:rsid w:val="00AF3FD8"/>
    <w:rsid w:val="00B1177A"/>
    <w:rsid w:val="00B12012"/>
    <w:rsid w:val="00B12BB8"/>
    <w:rsid w:val="00B158F7"/>
    <w:rsid w:val="00B15C2A"/>
    <w:rsid w:val="00B21845"/>
    <w:rsid w:val="00B21F2A"/>
    <w:rsid w:val="00B25C3D"/>
    <w:rsid w:val="00B26181"/>
    <w:rsid w:val="00B35591"/>
    <w:rsid w:val="00B44BD9"/>
    <w:rsid w:val="00B47E72"/>
    <w:rsid w:val="00B52176"/>
    <w:rsid w:val="00B60A6F"/>
    <w:rsid w:val="00B61877"/>
    <w:rsid w:val="00B7530D"/>
    <w:rsid w:val="00B83038"/>
    <w:rsid w:val="00B84DCC"/>
    <w:rsid w:val="00B91056"/>
    <w:rsid w:val="00BA56D4"/>
    <w:rsid w:val="00BA6D60"/>
    <w:rsid w:val="00BC2311"/>
    <w:rsid w:val="00BC23D4"/>
    <w:rsid w:val="00BC48B3"/>
    <w:rsid w:val="00BC5FF5"/>
    <w:rsid w:val="00BD03C3"/>
    <w:rsid w:val="00BD11FF"/>
    <w:rsid w:val="00BD16AB"/>
    <w:rsid w:val="00BD31C9"/>
    <w:rsid w:val="00BD6515"/>
    <w:rsid w:val="00BD6744"/>
    <w:rsid w:val="00BE3F65"/>
    <w:rsid w:val="00BE583D"/>
    <w:rsid w:val="00BF1CC0"/>
    <w:rsid w:val="00BF312A"/>
    <w:rsid w:val="00BF344A"/>
    <w:rsid w:val="00C00CC1"/>
    <w:rsid w:val="00C03C18"/>
    <w:rsid w:val="00C04094"/>
    <w:rsid w:val="00C07978"/>
    <w:rsid w:val="00C13B21"/>
    <w:rsid w:val="00C20E23"/>
    <w:rsid w:val="00C2184A"/>
    <w:rsid w:val="00C22737"/>
    <w:rsid w:val="00C24EF6"/>
    <w:rsid w:val="00C338B4"/>
    <w:rsid w:val="00C33DAE"/>
    <w:rsid w:val="00C36D94"/>
    <w:rsid w:val="00C372FE"/>
    <w:rsid w:val="00C43564"/>
    <w:rsid w:val="00C45CB3"/>
    <w:rsid w:val="00C54AE3"/>
    <w:rsid w:val="00C56670"/>
    <w:rsid w:val="00C6083A"/>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C7525"/>
    <w:rsid w:val="00CD1102"/>
    <w:rsid w:val="00CD4EB1"/>
    <w:rsid w:val="00CE0CB4"/>
    <w:rsid w:val="00CE1539"/>
    <w:rsid w:val="00CE3906"/>
    <w:rsid w:val="00CE4C25"/>
    <w:rsid w:val="00CE68ED"/>
    <w:rsid w:val="00CE77C4"/>
    <w:rsid w:val="00CF069B"/>
    <w:rsid w:val="00D0457B"/>
    <w:rsid w:val="00D07B06"/>
    <w:rsid w:val="00D21DFD"/>
    <w:rsid w:val="00D25267"/>
    <w:rsid w:val="00D37D50"/>
    <w:rsid w:val="00D405B6"/>
    <w:rsid w:val="00D544D1"/>
    <w:rsid w:val="00D55A72"/>
    <w:rsid w:val="00D55B0F"/>
    <w:rsid w:val="00D56021"/>
    <w:rsid w:val="00D64554"/>
    <w:rsid w:val="00D650E0"/>
    <w:rsid w:val="00D66A72"/>
    <w:rsid w:val="00D720F1"/>
    <w:rsid w:val="00D8459E"/>
    <w:rsid w:val="00D85A76"/>
    <w:rsid w:val="00D86C62"/>
    <w:rsid w:val="00D95223"/>
    <w:rsid w:val="00DA0FBB"/>
    <w:rsid w:val="00DA2156"/>
    <w:rsid w:val="00DA33B4"/>
    <w:rsid w:val="00DA596F"/>
    <w:rsid w:val="00DA71A5"/>
    <w:rsid w:val="00DA7955"/>
    <w:rsid w:val="00DB2BC7"/>
    <w:rsid w:val="00DB31B5"/>
    <w:rsid w:val="00DB39F7"/>
    <w:rsid w:val="00DB5A08"/>
    <w:rsid w:val="00DB60DD"/>
    <w:rsid w:val="00DB7C48"/>
    <w:rsid w:val="00DC30C6"/>
    <w:rsid w:val="00DD2161"/>
    <w:rsid w:val="00DD4A70"/>
    <w:rsid w:val="00DE15FE"/>
    <w:rsid w:val="00DE5D20"/>
    <w:rsid w:val="00DF6619"/>
    <w:rsid w:val="00E02003"/>
    <w:rsid w:val="00E05735"/>
    <w:rsid w:val="00E10005"/>
    <w:rsid w:val="00E11B55"/>
    <w:rsid w:val="00E146B3"/>
    <w:rsid w:val="00E16EBD"/>
    <w:rsid w:val="00E2084D"/>
    <w:rsid w:val="00E26764"/>
    <w:rsid w:val="00E32559"/>
    <w:rsid w:val="00E3371E"/>
    <w:rsid w:val="00E35852"/>
    <w:rsid w:val="00E40133"/>
    <w:rsid w:val="00E43F34"/>
    <w:rsid w:val="00E44900"/>
    <w:rsid w:val="00E449DB"/>
    <w:rsid w:val="00E52B6F"/>
    <w:rsid w:val="00E60035"/>
    <w:rsid w:val="00E654BE"/>
    <w:rsid w:val="00E708F3"/>
    <w:rsid w:val="00E74BB9"/>
    <w:rsid w:val="00E80939"/>
    <w:rsid w:val="00E83ED8"/>
    <w:rsid w:val="00E879DA"/>
    <w:rsid w:val="00E91723"/>
    <w:rsid w:val="00EA2567"/>
    <w:rsid w:val="00EA629B"/>
    <w:rsid w:val="00EB258E"/>
    <w:rsid w:val="00EB2B80"/>
    <w:rsid w:val="00EB3A74"/>
    <w:rsid w:val="00EB49A9"/>
    <w:rsid w:val="00EC0D71"/>
    <w:rsid w:val="00EC1D9F"/>
    <w:rsid w:val="00EC280A"/>
    <w:rsid w:val="00EC439F"/>
    <w:rsid w:val="00EC7CA9"/>
    <w:rsid w:val="00ED64E4"/>
    <w:rsid w:val="00EE5332"/>
    <w:rsid w:val="00EE6C82"/>
    <w:rsid w:val="00EF4A8F"/>
    <w:rsid w:val="00EF5D93"/>
    <w:rsid w:val="00F152AB"/>
    <w:rsid w:val="00F17008"/>
    <w:rsid w:val="00F24179"/>
    <w:rsid w:val="00F279DD"/>
    <w:rsid w:val="00F3291F"/>
    <w:rsid w:val="00F3369B"/>
    <w:rsid w:val="00F378E9"/>
    <w:rsid w:val="00F4148F"/>
    <w:rsid w:val="00F437E6"/>
    <w:rsid w:val="00F43EEE"/>
    <w:rsid w:val="00F46344"/>
    <w:rsid w:val="00F52557"/>
    <w:rsid w:val="00F52D16"/>
    <w:rsid w:val="00F533F8"/>
    <w:rsid w:val="00F545DE"/>
    <w:rsid w:val="00F61B8B"/>
    <w:rsid w:val="00F630E5"/>
    <w:rsid w:val="00F722EC"/>
    <w:rsid w:val="00F842FF"/>
    <w:rsid w:val="00F856A9"/>
    <w:rsid w:val="00F864BD"/>
    <w:rsid w:val="00F92245"/>
    <w:rsid w:val="00F971FA"/>
    <w:rsid w:val="00F9777B"/>
    <w:rsid w:val="00FA11EF"/>
    <w:rsid w:val="00FA2F9B"/>
    <w:rsid w:val="00FA7A6E"/>
    <w:rsid w:val="00FB1006"/>
    <w:rsid w:val="00FD75CD"/>
    <w:rsid w:val="00FE1B9D"/>
    <w:rsid w:val="00FE3C90"/>
    <w:rsid w:val="00FE44DE"/>
    <w:rsid w:val="00FE5F0B"/>
    <w:rsid w:val="00FF4119"/>
    <w:rsid w:val="00FF4A31"/>
    <w:rsid w:val="014325AB"/>
    <w:rsid w:val="0AFA2205"/>
    <w:rsid w:val="0C0F4EFC"/>
    <w:rsid w:val="11DC4720"/>
    <w:rsid w:val="13A62C73"/>
    <w:rsid w:val="15AE193B"/>
    <w:rsid w:val="193A495C"/>
    <w:rsid w:val="1BA347AB"/>
    <w:rsid w:val="1E383D70"/>
    <w:rsid w:val="1FC9516F"/>
    <w:rsid w:val="232113D4"/>
    <w:rsid w:val="23D44659"/>
    <w:rsid w:val="291349C0"/>
    <w:rsid w:val="2AD04A54"/>
    <w:rsid w:val="2E4E7296"/>
    <w:rsid w:val="2EA156A4"/>
    <w:rsid w:val="309E7118"/>
    <w:rsid w:val="341E1FA6"/>
    <w:rsid w:val="35C51979"/>
    <w:rsid w:val="385B3CC1"/>
    <w:rsid w:val="39E00A42"/>
    <w:rsid w:val="3BCA22DA"/>
    <w:rsid w:val="3C073E98"/>
    <w:rsid w:val="3CBC12BA"/>
    <w:rsid w:val="3D766476"/>
    <w:rsid w:val="40144806"/>
    <w:rsid w:val="45B36073"/>
    <w:rsid w:val="4D1A21BE"/>
    <w:rsid w:val="576D7994"/>
    <w:rsid w:val="57833E23"/>
    <w:rsid w:val="599201D0"/>
    <w:rsid w:val="5D7A6448"/>
    <w:rsid w:val="60594335"/>
    <w:rsid w:val="614B4F77"/>
    <w:rsid w:val="61FD44D4"/>
    <w:rsid w:val="62AB0924"/>
    <w:rsid w:val="650938BA"/>
    <w:rsid w:val="661C47B6"/>
    <w:rsid w:val="6BD64940"/>
    <w:rsid w:val="6BE71332"/>
    <w:rsid w:val="70A86D43"/>
    <w:rsid w:val="735313A3"/>
    <w:rsid w:val="77425DDE"/>
    <w:rsid w:val="78625242"/>
    <w:rsid w:val="7A9C6274"/>
    <w:rsid w:val="7EC20D32"/>
    <w:rsid w:val="B6F71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4">
    <w:name w:val="heading 3"/>
    <w:basedOn w:val="1"/>
    <w:next w:val="1"/>
    <w:link w:val="28"/>
    <w:qFormat/>
    <w:uiPriority w:val="99"/>
    <w:pPr>
      <w:keepNext/>
      <w:keepLines/>
      <w:numPr>
        <w:ilvl w:val="2"/>
        <w:numId w:val="1"/>
      </w:numPr>
      <w:spacing w:before="260" w:after="260" w:line="416" w:lineRule="auto"/>
      <w:outlineLvl w:val="2"/>
    </w:pPr>
    <w:rPr>
      <w:b/>
      <w:bCs/>
      <w:szCs w:val="32"/>
    </w:rPr>
  </w:style>
  <w:style w:type="paragraph" w:styleId="5">
    <w:name w:val="heading 4"/>
    <w:basedOn w:val="1"/>
    <w:next w:val="1"/>
    <w:link w:val="29"/>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Plain Text"/>
    <w:basedOn w:val="1"/>
    <w:link w:val="53"/>
    <w:qFormat/>
    <w:uiPriority w:val="0"/>
    <w:pPr>
      <w:spacing w:line="240" w:lineRule="auto"/>
      <w:ind w:firstLine="0" w:firstLineChars="0"/>
    </w:pPr>
    <w:rPr>
      <w:rFonts w:ascii="宋体" w:hAnsi="Courier New" w:eastAsia="宋体" w:cs="Courier New"/>
      <w:sz w:val="21"/>
    </w:rPr>
  </w:style>
  <w:style w:type="paragraph" w:styleId="13">
    <w:name w:val="Date"/>
    <w:basedOn w:val="1"/>
    <w:next w:val="1"/>
    <w:link w:val="42"/>
    <w:unhideWhenUsed/>
    <w:qFormat/>
    <w:uiPriority w:val="99"/>
    <w:pPr>
      <w:ind w:left="100" w:leftChars="2500"/>
    </w:pPr>
  </w:style>
  <w:style w:type="paragraph" w:styleId="14">
    <w:name w:val="Balloon Text"/>
    <w:basedOn w:val="1"/>
    <w:link w:val="54"/>
    <w:unhideWhenUsed/>
    <w:qFormat/>
    <w:uiPriority w:val="99"/>
    <w:pPr>
      <w:spacing w:line="240" w:lineRule="auto"/>
    </w:pPr>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qFormat/>
    <w:uiPriority w:val="0"/>
    <w:pPr>
      <w:spacing w:line="360" w:lineRule="auto"/>
      <w:jc w:val="left"/>
      <w:outlineLvl w:val="1"/>
    </w:pPr>
    <w:rPr>
      <w:b/>
      <w:bCs/>
      <w:kern w:val="28"/>
      <w:sz w:val="28"/>
      <w:szCs w:val="32"/>
    </w:rPr>
  </w:style>
  <w:style w:type="paragraph" w:styleId="1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Title"/>
    <w:basedOn w:val="1"/>
    <w:next w:val="1"/>
    <w:link w:val="35"/>
    <w:qFormat/>
    <w:uiPriority w:val="0"/>
    <w:pPr>
      <w:spacing w:line="640" w:lineRule="exact"/>
      <w:ind w:firstLine="0" w:firstLineChars="0"/>
      <w:jc w:val="center"/>
      <w:outlineLvl w:val="0"/>
    </w:pPr>
    <w:rPr>
      <w:rFonts w:eastAsia="方正小标宋简体"/>
      <w:bCs/>
      <w:sz w:val="44"/>
      <w:szCs w:val="32"/>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Emphasis"/>
    <w:qFormat/>
    <w:uiPriority w:val="20"/>
    <w:rPr>
      <w:i/>
      <w:iCs/>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0"/>
    <w:rPr>
      <w:b/>
      <w:bCs/>
      <w:kern w:val="44"/>
      <w:sz w:val="44"/>
      <w:szCs w:val="44"/>
    </w:rPr>
  </w:style>
  <w:style w:type="character" w:customStyle="1" w:styleId="27">
    <w:name w:val="标题 2 Char"/>
    <w:basedOn w:val="22"/>
    <w:link w:val="3"/>
    <w:qFormat/>
    <w:uiPriority w:val="0"/>
    <w:rPr>
      <w:rFonts w:ascii="Arial" w:hAnsi="Arial" w:eastAsia="黑体"/>
      <w:b/>
      <w:bCs/>
      <w:kern w:val="2"/>
      <w:sz w:val="32"/>
      <w:szCs w:val="32"/>
    </w:rPr>
  </w:style>
  <w:style w:type="character" w:customStyle="1" w:styleId="28">
    <w:name w:val="标题 3 Char"/>
    <w:basedOn w:val="22"/>
    <w:link w:val="4"/>
    <w:qFormat/>
    <w:uiPriority w:val="99"/>
    <w:rPr>
      <w:b/>
      <w:bCs/>
      <w:kern w:val="2"/>
      <w:sz w:val="32"/>
      <w:szCs w:val="32"/>
    </w:rPr>
  </w:style>
  <w:style w:type="character" w:customStyle="1" w:styleId="29">
    <w:name w:val="标题 4 Char"/>
    <w:basedOn w:val="22"/>
    <w:link w:val="5"/>
    <w:qFormat/>
    <w:uiPriority w:val="0"/>
    <w:rPr>
      <w:rFonts w:ascii="Arial" w:hAnsi="Arial" w:eastAsia="黑体"/>
      <w:b/>
      <w:bCs/>
      <w:kern w:val="2"/>
      <w:sz w:val="28"/>
      <w:szCs w:val="28"/>
    </w:rPr>
  </w:style>
  <w:style w:type="character" w:customStyle="1" w:styleId="30">
    <w:name w:val="标题 5 Char"/>
    <w:basedOn w:val="22"/>
    <w:link w:val="6"/>
    <w:qFormat/>
    <w:uiPriority w:val="0"/>
    <w:rPr>
      <w:b/>
      <w:bCs/>
      <w:kern w:val="2"/>
      <w:sz w:val="28"/>
      <w:szCs w:val="28"/>
    </w:rPr>
  </w:style>
  <w:style w:type="character" w:customStyle="1" w:styleId="31">
    <w:name w:val="标题 6 Char"/>
    <w:basedOn w:val="22"/>
    <w:link w:val="7"/>
    <w:qFormat/>
    <w:uiPriority w:val="0"/>
    <w:rPr>
      <w:rFonts w:ascii="Arial" w:hAnsi="Arial" w:eastAsia="黑体"/>
      <w:b/>
      <w:bCs/>
      <w:kern w:val="2"/>
      <w:sz w:val="24"/>
      <w:szCs w:val="24"/>
    </w:rPr>
  </w:style>
  <w:style w:type="character" w:customStyle="1" w:styleId="32">
    <w:name w:val="标题 7 Char"/>
    <w:basedOn w:val="22"/>
    <w:link w:val="8"/>
    <w:qFormat/>
    <w:uiPriority w:val="0"/>
    <w:rPr>
      <w:b/>
      <w:bCs/>
      <w:kern w:val="2"/>
      <w:sz w:val="24"/>
      <w:szCs w:val="24"/>
    </w:rPr>
  </w:style>
  <w:style w:type="character" w:customStyle="1" w:styleId="33">
    <w:name w:val="标题 8 Char"/>
    <w:basedOn w:val="22"/>
    <w:link w:val="9"/>
    <w:qFormat/>
    <w:uiPriority w:val="0"/>
    <w:rPr>
      <w:rFonts w:ascii="Arial" w:hAnsi="Arial" w:eastAsia="黑体"/>
      <w:kern w:val="2"/>
      <w:sz w:val="24"/>
      <w:szCs w:val="24"/>
    </w:rPr>
  </w:style>
  <w:style w:type="character" w:customStyle="1" w:styleId="34">
    <w:name w:val="标题 9 Char"/>
    <w:basedOn w:val="22"/>
    <w:link w:val="10"/>
    <w:qFormat/>
    <w:uiPriority w:val="0"/>
    <w:rPr>
      <w:rFonts w:ascii="Arial" w:hAnsi="Arial" w:eastAsia="黑体"/>
      <w:kern w:val="2"/>
      <w:sz w:val="21"/>
      <w:szCs w:val="21"/>
    </w:rPr>
  </w:style>
  <w:style w:type="character" w:customStyle="1" w:styleId="35">
    <w:name w:val="标题 Char"/>
    <w:basedOn w:val="22"/>
    <w:link w:val="19"/>
    <w:qFormat/>
    <w:uiPriority w:val="0"/>
    <w:rPr>
      <w:rFonts w:eastAsia="方正小标宋简体"/>
      <w:bCs/>
      <w:kern w:val="2"/>
      <w:sz w:val="44"/>
      <w:szCs w:val="32"/>
    </w:rPr>
  </w:style>
  <w:style w:type="character" w:customStyle="1" w:styleId="36">
    <w:name w:val="副标题 Char"/>
    <w:basedOn w:val="22"/>
    <w:link w:val="17"/>
    <w:qFormat/>
    <w:uiPriority w:val="0"/>
    <w:rPr>
      <w:rFonts w:cs="Times New Roman"/>
      <w:b/>
      <w:bCs/>
      <w:kern w:val="28"/>
      <w:sz w:val="28"/>
      <w:szCs w:val="32"/>
    </w:rPr>
  </w:style>
  <w:style w:type="paragraph" w:customStyle="1" w:styleId="37">
    <w:name w:val="无间隔1"/>
    <w:link w:val="38"/>
    <w:qFormat/>
    <w:uiPriority w:val="1"/>
    <w:rPr>
      <w:rFonts w:ascii="Calibri" w:hAnsi="Calibri" w:eastAsia="宋体" w:cs="Times New Roman"/>
      <w:sz w:val="22"/>
      <w:szCs w:val="22"/>
      <w:lang w:val="en-US" w:eastAsia="zh-CN" w:bidi="ar-SA"/>
    </w:rPr>
  </w:style>
  <w:style w:type="character" w:customStyle="1" w:styleId="38">
    <w:name w:val="无间隔 Char"/>
    <w:basedOn w:val="22"/>
    <w:link w:val="37"/>
    <w:qFormat/>
    <w:uiPriority w:val="1"/>
    <w:rPr>
      <w:rFonts w:ascii="Calibri" w:hAnsi="Calibri"/>
      <w:sz w:val="22"/>
      <w:szCs w:val="22"/>
    </w:rPr>
  </w:style>
  <w:style w:type="paragraph" w:customStyle="1" w:styleId="39">
    <w:name w:val="列出段落1"/>
    <w:basedOn w:val="1"/>
    <w:qFormat/>
    <w:uiPriority w:val="34"/>
    <w:pPr>
      <w:ind w:firstLine="420"/>
    </w:pPr>
  </w:style>
  <w:style w:type="character" w:customStyle="1" w:styleId="40">
    <w:name w:val="页眉 Char"/>
    <w:basedOn w:val="22"/>
    <w:link w:val="16"/>
    <w:semiHidden/>
    <w:qFormat/>
    <w:uiPriority w:val="99"/>
    <w:rPr>
      <w:kern w:val="2"/>
      <w:sz w:val="18"/>
      <w:szCs w:val="18"/>
    </w:rPr>
  </w:style>
  <w:style w:type="character" w:customStyle="1" w:styleId="41">
    <w:name w:val="页脚 Char"/>
    <w:basedOn w:val="22"/>
    <w:link w:val="15"/>
    <w:qFormat/>
    <w:uiPriority w:val="99"/>
    <w:rPr>
      <w:kern w:val="2"/>
      <w:sz w:val="18"/>
      <w:szCs w:val="18"/>
    </w:rPr>
  </w:style>
  <w:style w:type="character" w:customStyle="1" w:styleId="42">
    <w:name w:val="日期 Char"/>
    <w:basedOn w:val="22"/>
    <w:link w:val="13"/>
    <w:semiHidden/>
    <w:qFormat/>
    <w:uiPriority w:val="99"/>
    <w:rPr>
      <w:kern w:val="2"/>
      <w:sz w:val="21"/>
      <w:szCs w:val="21"/>
    </w:rPr>
  </w:style>
  <w:style w:type="character" w:customStyle="1" w:styleId="43">
    <w:name w:val="font11"/>
    <w:basedOn w:val="22"/>
    <w:qFormat/>
    <w:uiPriority w:val="0"/>
    <w:rPr>
      <w:rFonts w:hint="default" w:ascii="Arial" w:hAnsi="Arial" w:cs="Arial"/>
      <w:b/>
      <w:color w:val="000000"/>
      <w:sz w:val="22"/>
      <w:szCs w:val="22"/>
      <w:u w:val="none"/>
    </w:rPr>
  </w:style>
  <w:style w:type="character" w:customStyle="1" w:styleId="44">
    <w:name w:val="font81"/>
    <w:basedOn w:val="22"/>
    <w:qFormat/>
    <w:uiPriority w:val="0"/>
    <w:rPr>
      <w:rFonts w:hint="eastAsia" w:ascii="宋体" w:hAnsi="宋体" w:eastAsia="宋体" w:cs="宋体"/>
      <w:b/>
      <w:color w:val="000000"/>
      <w:sz w:val="22"/>
      <w:szCs w:val="22"/>
      <w:u w:val="none"/>
    </w:rPr>
  </w:style>
  <w:style w:type="character" w:customStyle="1" w:styleId="45">
    <w:name w:val="font61"/>
    <w:basedOn w:val="22"/>
    <w:qFormat/>
    <w:uiPriority w:val="0"/>
    <w:rPr>
      <w:rFonts w:hint="eastAsia" w:ascii="宋体" w:hAnsi="宋体" w:eastAsia="宋体" w:cs="宋体"/>
      <w:b/>
      <w:color w:val="000000"/>
      <w:sz w:val="24"/>
      <w:szCs w:val="24"/>
      <w:u w:val="none"/>
    </w:rPr>
  </w:style>
  <w:style w:type="character" w:customStyle="1" w:styleId="46">
    <w:name w:val="font91"/>
    <w:basedOn w:val="22"/>
    <w:qFormat/>
    <w:uiPriority w:val="0"/>
    <w:rPr>
      <w:rFonts w:hint="eastAsia" w:ascii="宋体" w:hAnsi="宋体" w:eastAsia="宋体" w:cs="宋体"/>
      <w:color w:val="0000FF"/>
      <w:sz w:val="22"/>
      <w:szCs w:val="22"/>
      <w:u w:val="none"/>
    </w:rPr>
  </w:style>
  <w:style w:type="character" w:customStyle="1" w:styleId="47">
    <w:name w:val="font121"/>
    <w:basedOn w:val="22"/>
    <w:qFormat/>
    <w:uiPriority w:val="0"/>
    <w:rPr>
      <w:rFonts w:hint="eastAsia" w:ascii="宋体" w:hAnsi="宋体" w:eastAsia="宋体" w:cs="宋体"/>
      <w:color w:val="000000"/>
      <w:sz w:val="22"/>
      <w:szCs w:val="22"/>
      <w:u w:val="none"/>
    </w:rPr>
  </w:style>
  <w:style w:type="character" w:customStyle="1" w:styleId="48">
    <w:name w:val="font101"/>
    <w:basedOn w:val="22"/>
    <w:qFormat/>
    <w:uiPriority w:val="0"/>
    <w:rPr>
      <w:rFonts w:hint="default" w:ascii="Arial" w:hAnsi="Arial" w:cs="Arial"/>
      <w:color w:val="000000"/>
      <w:sz w:val="22"/>
      <w:szCs w:val="22"/>
      <w:u w:val="none"/>
    </w:rPr>
  </w:style>
  <w:style w:type="character" w:customStyle="1" w:styleId="49">
    <w:name w:val="font71"/>
    <w:basedOn w:val="22"/>
    <w:qFormat/>
    <w:uiPriority w:val="0"/>
    <w:rPr>
      <w:rFonts w:hint="eastAsia" w:ascii="宋体" w:hAnsi="宋体" w:eastAsia="宋体" w:cs="宋体"/>
      <w:b/>
      <w:color w:val="000000"/>
      <w:sz w:val="22"/>
      <w:szCs w:val="22"/>
      <w:u w:val="none"/>
    </w:rPr>
  </w:style>
  <w:style w:type="character" w:customStyle="1" w:styleId="50">
    <w:name w:val="font41"/>
    <w:basedOn w:val="22"/>
    <w:qFormat/>
    <w:uiPriority w:val="0"/>
    <w:rPr>
      <w:rFonts w:hint="eastAsia" w:ascii="宋体" w:hAnsi="宋体" w:eastAsia="宋体" w:cs="宋体"/>
      <w:b/>
      <w:color w:val="0000FF"/>
      <w:sz w:val="22"/>
      <w:szCs w:val="22"/>
      <w:u w:val="none"/>
    </w:rPr>
  </w:style>
  <w:style w:type="character" w:customStyle="1" w:styleId="51">
    <w:name w:val="font31"/>
    <w:basedOn w:val="22"/>
    <w:qFormat/>
    <w:uiPriority w:val="0"/>
    <w:rPr>
      <w:rFonts w:hint="default" w:ascii="Arial" w:hAnsi="Arial" w:cs="Arial"/>
      <w:b/>
      <w:color w:val="000000"/>
      <w:sz w:val="22"/>
      <w:szCs w:val="22"/>
      <w:u w:val="none"/>
    </w:rPr>
  </w:style>
  <w:style w:type="character" w:customStyle="1" w:styleId="52">
    <w:name w:val="font51"/>
    <w:basedOn w:val="22"/>
    <w:qFormat/>
    <w:uiPriority w:val="0"/>
    <w:rPr>
      <w:rFonts w:hint="eastAsia" w:ascii="宋体" w:hAnsi="宋体" w:eastAsia="宋体" w:cs="宋体"/>
      <w:color w:val="000000"/>
      <w:sz w:val="22"/>
      <w:szCs w:val="22"/>
      <w:u w:val="none"/>
    </w:rPr>
  </w:style>
  <w:style w:type="character" w:customStyle="1" w:styleId="53">
    <w:name w:val="纯文本 Char"/>
    <w:basedOn w:val="22"/>
    <w:link w:val="12"/>
    <w:qFormat/>
    <w:uiPriority w:val="0"/>
    <w:rPr>
      <w:rFonts w:ascii="宋体" w:hAnsi="Courier New" w:cs="Courier New"/>
      <w:kern w:val="2"/>
      <w:sz w:val="21"/>
      <w:szCs w:val="21"/>
    </w:rPr>
  </w:style>
  <w:style w:type="character" w:customStyle="1" w:styleId="54">
    <w:name w:val="批注框文本 Char"/>
    <w:basedOn w:val="22"/>
    <w:link w:val="14"/>
    <w:semiHidden/>
    <w:qFormat/>
    <w:uiPriority w:val="99"/>
    <w:rPr>
      <w:rFonts w:eastAsia="仿宋_GB2312"/>
      <w:kern w:val="2"/>
      <w:sz w:val="18"/>
      <w:szCs w:val="18"/>
    </w:rPr>
  </w:style>
  <w:style w:type="paragraph" w:customStyle="1" w:styleId="55">
    <w:name w:val="列出段落11"/>
    <w:basedOn w:val="1"/>
    <w:qFormat/>
    <w:uiPriority w:val="0"/>
    <w:pPr>
      <w:spacing w:beforeLines="50" w:line="240" w:lineRule="auto"/>
      <w:ind w:firstLine="420"/>
    </w:pPr>
    <w:rPr>
      <w:rFonts w:eastAsia="宋体"/>
      <w:sz w:val="21"/>
      <w:szCs w:val="24"/>
    </w:rPr>
  </w:style>
  <w:style w:type="character" w:customStyle="1" w:styleId="56">
    <w:name w:val="op_dict_text2"/>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5707</Words>
  <Characters>7445</Characters>
  <Lines>70</Lines>
  <Paragraphs>19</Paragraphs>
  <TotalTime>0</TotalTime>
  <ScaleCrop>false</ScaleCrop>
  <LinksUpToDate>false</LinksUpToDate>
  <CharactersWithSpaces>7627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2019-08-05T21:33:00Z</dcterms:created>
  <dc:creator>微软用户</dc:creator>
  <cp:lastModifiedBy>lueilueiluei</cp:lastModifiedBy>
  <cp:lastPrinted>2019-06-17T09:45:00Z</cp:lastPrinted>
  <dcterms:modified xsi:type="dcterms:W3CDTF">2023-08-24T04:55:21Z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73B2EF0F0F97497388A6B7AD344015D8_13</vt:lpwstr>
  </property>
</Properties>
</file>