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艺术硕士（广播电视）专业学位硕士研究生培养方案（外招）</w:t>
      </w:r>
    </w:p>
    <w:p>
      <w:pPr>
        <w:spacing w:line="520" w:lineRule="exact"/>
        <w:jc w:val="center"/>
        <w:rPr>
          <w:rFonts w:ascii="Times New Roman" w:hAnsi="Times New Roman" w:eastAsia="方正小标宋简体"/>
          <w:b/>
          <w:sz w:val="32"/>
          <w:szCs w:val="32"/>
        </w:rPr>
      </w:pPr>
      <w:r>
        <w:rPr>
          <w:rFonts w:hint="eastAsia" w:ascii="Times New Roman" w:hAnsi="Times New Roman" w:eastAsia="方正小标宋简体"/>
          <w:b/>
          <w:sz w:val="32"/>
          <w:szCs w:val="32"/>
        </w:rPr>
        <w:t>Developing Plan for Master of Fine Arts (MFA)</w:t>
      </w:r>
    </w:p>
    <w:p>
      <w:pPr>
        <w:spacing w:line="520" w:lineRule="exact"/>
        <w:jc w:val="center"/>
        <w:rPr>
          <w:rFonts w:ascii="Times New Roman" w:hAnsi="Times New Roman" w:eastAsia="方正小标宋简体"/>
          <w:b/>
          <w:sz w:val="32"/>
          <w:szCs w:val="32"/>
        </w:rPr>
      </w:pPr>
      <w:r>
        <w:rPr>
          <w:rFonts w:hint="eastAsia" w:ascii="Times New Roman" w:hAnsi="Times New Roman" w:eastAsia="方正小标宋简体"/>
          <w:b/>
          <w:sz w:val="32"/>
          <w:szCs w:val="32"/>
        </w:rPr>
        <w:t>in Radio &amp; Television</w:t>
      </w:r>
    </w:p>
    <w:p>
      <w:pPr>
        <w:spacing w:line="520" w:lineRule="exact"/>
        <w:ind w:firstLine="643" w:firstLineChars="200"/>
        <w:jc w:val="center"/>
        <w:rPr>
          <w:rFonts w:ascii="Times New Roman" w:hAnsi="Times New Roman" w:eastAsia="方正小标宋简体"/>
          <w:b/>
          <w:sz w:val="32"/>
          <w:szCs w:val="32"/>
        </w:rPr>
      </w:pPr>
      <w:r>
        <w:rPr>
          <w:rFonts w:hint="eastAsia" w:ascii="Times New Roman" w:hAnsi="Times New Roman" w:eastAsia="方正小标宋简体"/>
          <w:b/>
          <w:sz w:val="32"/>
          <w:szCs w:val="32"/>
        </w:rPr>
        <w:t>（135105）</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一、培养方向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1.视听艺术与创作实践 Visual Arts and Creative Practice</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2.播音与主持艺术 Broadcasting and Hosting Arts</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3.文化遗产与创意传播Culture Heritage and Creative Communication</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二、培养目标及基本要求</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（一）培养目标</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1.港澳台生：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培养德智体美全面发展，具有良好的职业道德和深厚的艺术涵养，扎实的广播电视艺术理论知识，熟练的编剧、策划、创作、剪辑、后期制作等业务技能，从事广播电视、数字媒体创作的应用型、复合型高级专门人才。</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2.华侨华人及外国留学生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培养扎实掌握广播电视专业的基础知识、理论和技能，具备深厚的文化底蕴、宽广的国际视野、良好的艺术素养和精湛的创作能力，能向广播电视专业及其相关领域扩展的高层次应用型专业人才。</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（二）基本要求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港澳台生：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热爱祖国和中华文化，自觉拥护祖国统一、拥护“一国两制”，自愿为港澳长期繁荣稳定和实现祖国和平统一做出贡献；遵守法律法规，恪守社会公德、新闻传播职业道德和学术规范；具有国家认同意识、新闻职业理想和社会责任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2.系统掌握广播电视、数字媒体等基本理论、基本知识和基本方法，具备较高的广播电视艺术修养及艺术创造能力。</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3.具备广播电视、数字媒体艺术中编剧、策划、创作、后期合成等专业创作能力，并具备参与社会各种艺术活动的组织和管理能力。</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4.掌握一门外国语，能阅读本专业的外文资料，具有一定的学术交流能力。</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5.具有自主学习、终身学习能力。</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6.品德良好，身心健康。</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华侨华人及外国留学生：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1.对中华文化和文明有充分了解。热爱中华文化，对中国友好，主动担当中外交流的文化使者，遵纪守法，品行端正，愿为社会发展作出贡献；遵守法律法规，恪守社会公德、新闻传播职业道德和学术规范。</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2.掌握一定的广播电视专业理论知识以及从事广播电视实践所需要的专业素养。</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3.培养具备中国文化底蕴和国际视野，拥有系统的广播电视专业知识、较强的开拓创新意识和传媒实践能力，了解国内外广播电视传媒发展动态。</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4.掌握汉语，具有一定的国际视野，能较熟练地阅读本专业的中文文献，具有较强的中文交流能力。</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5.具有自主学习、终身学习能力。</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6.品德良好，身心健康。</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三、学习年限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学制3 年。学习年限根据情况可适当延长，最长不得超过5年。</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四、培养方式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采取课堂教学、自学、讨论和实践相结合的方式，使学生较好地掌握基础理论和专业知识，培养学生广播电视艺术创作的问题意识和作品意识。培养过程将突出广播电视与新媒体艺术传播的专业特点，以实践为主并具有理论及综合素质的培养，对学生进行系统、全面的广播电视与新媒体艺术专业训练。</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指导方式采取“双导师制”，即由一名专业学位指导老师，及一名具有丰富实践经验、综合业务素质高的实践指导教师共同指导。聘请校外行（企）业具有丰富实践经验的专家担任实践指导教师，实行校内外双导师（导师组）共同指导，以校内导师指导为主，校外导师充分发挥职业优势。</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五、学分要求及课程体系设置</w:t>
      </w:r>
    </w:p>
    <w:p>
      <w:pPr>
        <w:spacing w:line="440" w:lineRule="exact"/>
        <w:ind w:firstLine="560" w:firstLineChars="200"/>
        <w:rPr>
          <w:sz w:val="24"/>
          <w:szCs w:val="24"/>
        </w:rPr>
      </w:pPr>
      <w:r>
        <w:rPr>
          <w:rFonts w:hint="eastAsia" w:ascii="仿宋" w:hAnsi="仿宋" w:eastAsia="仿宋"/>
          <w:sz w:val="28"/>
          <w:szCs w:val="28"/>
        </w:rPr>
        <w:t>本专业要求修满50学分，其中公共学位课8学分，专业学位课10学分，非学位课32学分，其中24学分为必修，8学分为选修。</w:t>
      </w:r>
    </w:p>
    <w:tbl>
      <w:tblPr>
        <w:tblStyle w:val="7"/>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9"/>
        <w:gridCol w:w="2620"/>
        <w:gridCol w:w="719"/>
        <w:gridCol w:w="663"/>
        <w:gridCol w:w="637"/>
        <w:gridCol w:w="646"/>
        <w:gridCol w:w="661"/>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9" w:type="dxa"/>
            <w:vAlign w:val="center"/>
          </w:tcPr>
          <w:p>
            <w:pPr>
              <w:spacing w:line="30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课程</w:t>
            </w:r>
          </w:p>
          <w:p>
            <w:pPr>
              <w:spacing w:line="30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类别</w:t>
            </w:r>
          </w:p>
        </w:tc>
        <w:tc>
          <w:tcPr>
            <w:tcW w:w="1349" w:type="dxa"/>
            <w:vAlign w:val="center"/>
          </w:tcPr>
          <w:p>
            <w:pPr>
              <w:spacing w:line="30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课程编号</w:t>
            </w:r>
          </w:p>
        </w:tc>
        <w:tc>
          <w:tcPr>
            <w:tcW w:w="2620" w:type="dxa"/>
            <w:vAlign w:val="center"/>
          </w:tcPr>
          <w:p>
            <w:pPr>
              <w:spacing w:line="30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课程中文名称</w:t>
            </w:r>
          </w:p>
          <w:p>
            <w:pPr>
              <w:spacing w:line="30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（课程英文名称）</w:t>
            </w:r>
          </w:p>
        </w:tc>
        <w:tc>
          <w:tcPr>
            <w:tcW w:w="719" w:type="dxa"/>
            <w:vAlign w:val="center"/>
          </w:tcPr>
          <w:p>
            <w:pPr>
              <w:spacing w:line="30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学时</w:t>
            </w:r>
          </w:p>
        </w:tc>
        <w:tc>
          <w:tcPr>
            <w:tcW w:w="663" w:type="dxa"/>
            <w:vAlign w:val="center"/>
          </w:tcPr>
          <w:p>
            <w:pPr>
              <w:spacing w:line="30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学分</w:t>
            </w:r>
          </w:p>
        </w:tc>
        <w:tc>
          <w:tcPr>
            <w:tcW w:w="637" w:type="dxa"/>
            <w:vAlign w:val="center"/>
          </w:tcPr>
          <w:p>
            <w:pPr>
              <w:spacing w:line="30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开课学期</w:t>
            </w:r>
          </w:p>
        </w:tc>
        <w:tc>
          <w:tcPr>
            <w:tcW w:w="646" w:type="dxa"/>
            <w:vAlign w:val="center"/>
          </w:tcPr>
          <w:p>
            <w:pPr>
              <w:spacing w:line="30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开课单位</w:t>
            </w:r>
          </w:p>
        </w:tc>
        <w:tc>
          <w:tcPr>
            <w:tcW w:w="661" w:type="dxa"/>
            <w:vAlign w:val="center"/>
          </w:tcPr>
          <w:p>
            <w:pPr>
              <w:spacing w:line="30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考核方式</w:t>
            </w:r>
          </w:p>
        </w:tc>
        <w:tc>
          <w:tcPr>
            <w:tcW w:w="818" w:type="dxa"/>
            <w:vAlign w:val="center"/>
          </w:tcPr>
          <w:p>
            <w:pPr>
              <w:spacing w:line="30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9" w:type="dxa"/>
            <w:vMerge w:val="restart"/>
            <w:vAlign w:val="center"/>
          </w:tcPr>
          <w:p>
            <w:pPr>
              <w:spacing w:line="300" w:lineRule="exact"/>
              <w:jc w:val="center"/>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公共学位课</w:t>
            </w:r>
          </w:p>
        </w:tc>
        <w:tc>
          <w:tcPr>
            <w:tcW w:w="1349"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105590ma37</w:t>
            </w:r>
          </w:p>
        </w:tc>
        <w:tc>
          <w:tcPr>
            <w:tcW w:w="2620"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基础英语</w:t>
            </w:r>
          </w:p>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Basic English</w:t>
            </w:r>
          </w:p>
        </w:tc>
        <w:tc>
          <w:tcPr>
            <w:tcW w:w="719"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36</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2</w:t>
            </w:r>
          </w:p>
        </w:tc>
        <w:tc>
          <w:tcPr>
            <w:tcW w:w="646"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外国语学院</w:t>
            </w:r>
          </w:p>
        </w:tc>
        <w:tc>
          <w:tcPr>
            <w:tcW w:w="661"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考试</w:t>
            </w:r>
          </w:p>
        </w:tc>
        <w:tc>
          <w:tcPr>
            <w:tcW w:w="818"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港澳台侨生必选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pPr>
              <w:spacing w:line="300" w:lineRule="exact"/>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105590da14</w:t>
            </w:r>
          </w:p>
        </w:tc>
        <w:tc>
          <w:tcPr>
            <w:tcW w:w="2620"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中国现代化理论与实践研究</w:t>
            </w:r>
          </w:p>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Study on Modernization Theory and Practice of China</w:t>
            </w:r>
          </w:p>
        </w:tc>
        <w:tc>
          <w:tcPr>
            <w:tcW w:w="719"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36</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2</w:t>
            </w:r>
          </w:p>
        </w:tc>
        <w:tc>
          <w:tcPr>
            <w:tcW w:w="646"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马克思主义学院</w:t>
            </w:r>
          </w:p>
        </w:tc>
        <w:tc>
          <w:tcPr>
            <w:tcW w:w="661"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考试</w:t>
            </w:r>
          </w:p>
        </w:tc>
        <w:tc>
          <w:tcPr>
            <w:tcW w:w="818"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港澳台侨生必选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105590ma25</w:t>
            </w:r>
          </w:p>
        </w:tc>
        <w:tc>
          <w:tcPr>
            <w:tcW w:w="2620"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汉语</w:t>
            </w:r>
          </w:p>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Chinese</w:t>
            </w:r>
            <w:r>
              <w:rPr>
                <w:rFonts w:hint="default" w:ascii="仿宋" w:hAnsi="仿宋" w:eastAsia="仿宋" w:cs="宋体"/>
                <w:color w:val="000000" w:themeColor="text1"/>
                <w:sz w:val="21"/>
                <w:highlight w:val="none"/>
                <w14:textFill>
                  <w14:solidFill>
                    <w14:schemeClr w14:val="tx1"/>
                  </w14:solidFill>
                </w14:textFill>
              </w:rPr>
              <w:t xml:space="preserve"> Language</w:t>
            </w:r>
          </w:p>
        </w:tc>
        <w:tc>
          <w:tcPr>
            <w:tcW w:w="719"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36</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2</w:t>
            </w:r>
          </w:p>
        </w:tc>
        <w:tc>
          <w:tcPr>
            <w:tcW w:w="646"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华文学院</w:t>
            </w:r>
          </w:p>
        </w:tc>
        <w:tc>
          <w:tcPr>
            <w:tcW w:w="661"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考试</w:t>
            </w:r>
          </w:p>
        </w:tc>
        <w:tc>
          <w:tcPr>
            <w:tcW w:w="818"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留学生必选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105590ma31</w:t>
            </w:r>
          </w:p>
        </w:tc>
        <w:tc>
          <w:tcPr>
            <w:tcW w:w="2620"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中国概况</w:t>
            </w:r>
          </w:p>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China Panorama</w:t>
            </w:r>
          </w:p>
        </w:tc>
        <w:tc>
          <w:tcPr>
            <w:tcW w:w="719"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36</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2</w:t>
            </w:r>
          </w:p>
        </w:tc>
        <w:tc>
          <w:tcPr>
            <w:tcW w:w="646"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国际学院</w:t>
            </w:r>
          </w:p>
        </w:tc>
        <w:tc>
          <w:tcPr>
            <w:tcW w:w="661"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考试</w:t>
            </w:r>
          </w:p>
        </w:tc>
        <w:tc>
          <w:tcPr>
            <w:tcW w:w="818"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留学生必选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055300ma05</w:t>
            </w:r>
          </w:p>
        </w:tc>
        <w:tc>
          <w:tcPr>
            <w:tcW w:w="2620"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专业英语</w:t>
            </w:r>
          </w:p>
          <w:p>
            <w:pPr>
              <w:adjustRightInd w:val="0"/>
              <w:snapToGrid w:val="0"/>
              <w:spacing w:line="300" w:lineRule="exact"/>
              <w:jc w:val="center"/>
              <w:rPr>
                <w:rFonts w:ascii="仿宋" w:hAnsi="仿宋" w:eastAsia="仿宋" w:cs="Times New Roman"/>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Professional English</w:t>
            </w:r>
          </w:p>
        </w:tc>
        <w:tc>
          <w:tcPr>
            <w:tcW w:w="719" w:type="dxa"/>
            <w:vAlign w:val="center"/>
          </w:tcPr>
          <w:p>
            <w:pPr>
              <w:adjustRightInd w:val="0"/>
              <w:snapToGrid w:val="0"/>
              <w:spacing w:line="300" w:lineRule="exact"/>
              <w:jc w:val="center"/>
              <w:rPr>
                <w:rFonts w:hint="default"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2</w:t>
            </w:r>
          </w:p>
        </w:tc>
        <w:tc>
          <w:tcPr>
            <w:tcW w:w="646"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本单位</w:t>
            </w:r>
          </w:p>
        </w:tc>
        <w:tc>
          <w:tcPr>
            <w:tcW w:w="661"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考试</w:t>
            </w:r>
          </w:p>
        </w:tc>
        <w:tc>
          <w:tcPr>
            <w:tcW w:w="818"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135104ma01</w:t>
            </w:r>
          </w:p>
        </w:tc>
        <w:tc>
          <w:tcPr>
            <w:tcW w:w="2620" w:type="dxa"/>
            <w:vAlign w:val="center"/>
          </w:tcPr>
          <w:p>
            <w:pPr>
              <w:adjustRightInd w:val="0"/>
              <w:snapToGrid w:val="0"/>
              <w:spacing w:line="3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马克思主义文艺理论</w:t>
            </w:r>
          </w:p>
          <w:p>
            <w:pPr>
              <w:adjustRightInd w:val="0"/>
              <w:snapToGrid w:val="0"/>
              <w:spacing w:line="300" w:lineRule="exact"/>
              <w:jc w:val="center"/>
              <w:rPr>
                <w:rFonts w:ascii="仿宋" w:hAnsi="仿宋" w:eastAsia="仿宋" w:cs="Times New Roman"/>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Marxism Literary Theory</w:t>
            </w:r>
          </w:p>
        </w:tc>
        <w:tc>
          <w:tcPr>
            <w:tcW w:w="719" w:type="dxa"/>
            <w:vAlign w:val="center"/>
          </w:tcPr>
          <w:p>
            <w:pPr>
              <w:adjustRightInd w:val="0"/>
              <w:snapToGrid w:val="0"/>
              <w:spacing w:line="300" w:lineRule="exact"/>
              <w:jc w:val="center"/>
              <w:rPr>
                <w:rFonts w:ascii="仿宋" w:hAnsi="仿宋" w:eastAsia="仿宋" w:cstheme="minorEastAsia"/>
                <w:color w:val="000000" w:themeColor="text1"/>
                <w:szCs w:val="21"/>
                <w:highlight w:val="none"/>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36</w:t>
            </w:r>
          </w:p>
        </w:tc>
        <w:tc>
          <w:tcPr>
            <w:tcW w:w="663" w:type="dxa"/>
            <w:vAlign w:val="center"/>
          </w:tcPr>
          <w:p>
            <w:pPr>
              <w:widowControl/>
              <w:spacing w:line="300" w:lineRule="exact"/>
              <w:jc w:val="center"/>
              <w:rPr>
                <w:rFonts w:ascii="仿宋" w:hAnsi="仿宋" w:eastAsia="仿宋" w:cstheme="minorEastAsia"/>
                <w:color w:val="000000" w:themeColor="text1"/>
                <w:szCs w:val="21"/>
                <w:highlight w:val="none"/>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theme="minorEastAsia"/>
                <w:color w:val="000000" w:themeColor="text1"/>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2</w:t>
            </w:r>
          </w:p>
        </w:tc>
        <w:tc>
          <w:tcPr>
            <w:tcW w:w="646"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szCs w:val="21"/>
                <w:highlight w:val="none"/>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w:t>
            </w:r>
          </w:p>
        </w:tc>
        <w:tc>
          <w:tcPr>
            <w:tcW w:w="818" w:type="dxa"/>
            <w:vAlign w:val="center"/>
          </w:tcPr>
          <w:p>
            <w:pPr>
              <w:widowControl/>
              <w:spacing w:line="300" w:lineRule="exact"/>
              <w:jc w:val="center"/>
              <w:rPr>
                <w:rFonts w:ascii="仿宋" w:hAnsi="仿宋" w:eastAsia="仿宋" w:cstheme="minorEastAsia"/>
                <w:color w:val="000000" w:themeColor="text1"/>
                <w:szCs w:val="21"/>
                <w:highlight w:val="none"/>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vMerge w:val="restart"/>
            <w:vAlign w:val="center"/>
          </w:tcPr>
          <w:p>
            <w:pPr>
              <w:spacing w:line="300" w:lineRule="exact"/>
              <w:jc w:val="center"/>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专业学位课</w:t>
            </w: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135105mb15</w:t>
            </w:r>
          </w:p>
        </w:tc>
        <w:tc>
          <w:tcPr>
            <w:tcW w:w="2620"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视听语言</w:t>
            </w:r>
          </w:p>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Audiovisual Linguistics</w:t>
            </w:r>
          </w:p>
        </w:tc>
        <w:tc>
          <w:tcPr>
            <w:tcW w:w="719" w:type="dxa"/>
            <w:vAlign w:val="center"/>
          </w:tcPr>
          <w:p>
            <w:pPr>
              <w:adjustRightInd w:val="0"/>
              <w:snapToGrid w:val="0"/>
              <w:spacing w:line="300" w:lineRule="exact"/>
              <w:jc w:val="center"/>
              <w:rPr>
                <w:rFonts w:hint="default"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60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w:t>
            </w:r>
          </w:p>
        </w:tc>
        <w:tc>
          <w:tcPr>
            <w:tcW w:w="818"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vMerge w:val="continue"/>
            <w:vAlign w:val="center"/>
          </w:tcPr>
          <w:p>
            <w:pPr>
              <w:spacing w:line="300" w:lineRule="exact"/>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135105mb25</w:t>
            </w:r>
          </w:p>
        </w:tc>
        <w:tc>
          <w:tcPr>
            <w:tcW w:w="2620"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广播电视艺术前沿</w:t>
            </w:r>
          </w:p>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Current issues in Radio, Film and Television Art Studies</w:t>
            </w:r>
          </w:p>
        </w:tc>
        <w:tc>
          <w:tcPr>
            <w:tcW w:w="719" w:type="dxa"/>
            <w:vAlign w:val="center"/>
          </w:tcPr>
          <w:p>
            <w:pPr>
              <w:adjustRightInd w:val="0"/>
              <w:snapToGrid w:val="0"/>
              <w:spacing w:line="300" w:lineRule="exact"/>
              <w:jc w:val="center"/>
              <w:rPr>
                <w:rFonts w:hint="default"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w:t>
            </w:r>
          </w:p>
        </w:tc>
        <w:tc>
          <w:tcPr>
            <w:tcW w:w="818"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135105mb26</w:t>
            </w:r>
          </w:p>
        </w:tc>
        <w:tc>
          <w:tcPr>
            <w:tcW w:w="2620"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艺术美学</w:t>
            </w:r>
          </w:p>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Aesthetics</w:t>
            </w:r>
          </w:p>
        </w:tc>
        <w:tc>
          <w:tcPr>
            <w:tcW w:w="719" w:type="dxa"/>
            <w:vAlign w:val="center"/>
          </w:tcPr>
          <w:p>
            <w:pPr>
              <w:adjustRightInd w:val="0"/>
              <w:snapToGrid w:val="0"/>
              <w:spacing w:line="300" w:lineRule="exact"/>
              <w:jc w:val="center"/>
              <w:rPr>
                <w:rFonts w:hint="default"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w:t>
            </w:r>
          </w:p>
        </w:tc>
        <w:tc>
          <w:tcPr>
            <w:tcW w:w="818"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135105mb27</w:t>
            </w:r>
          </w:p>
        </w:tc>
        <w:tc>
          <w:tcPr>
            <w:tcW w:w="2620"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艺术创作方法</w:t>
            </w:r>
          </w:p>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Approaches to Artistic Creation</w:t>
            </w:r>
          </w:p>
        </w:tc>
        <w:tc>
          <w:tcPr>
            <w:tcW w:w="719" w:type="dxa"/>
            <w:vAlign w:val="center"/>
          </w:tcPr>
          <w:p>
            <w:pPr>
              <w:adjustRightInd w:val="0"/>
              <w:snapToGrid w:val="0"/>
              <w:spacing w:line="300" w:lineRule="exact"/>
              <w:jc w:val="center"/>
              <w:rPr>
                <w:rFonts w:hint="default"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60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w:t>
            </w:r>
          </w:p>
        </w:tc>
        <w:tc>
          <w:tcPr>
            <w:tcW w:w="818"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restart"/>
            <w:vAlign w:val="center"/>
          </w:tcPr>
          <w:p>
            <w:pPr>
              <w:spacing w:line="300" w:lineRule="exact"/>
              <w:jc w:val="center"/>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非学位课程</w:t>
            </w: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135105mc28</w:t>
            </w:r>
          </w:p>
        </w:tc>
        <w:tc>
          <w:tcPr>
            <w:tcW w:w="2620" w:type="dxa"/>
            <w:vAlign w:val="center"/>
          </w:tcPr>
          <w:p>
            <w:pPr>
              <w:widowControl/>
              <w:spacing w:line="300" w:lineRule="exact"/>
              <w:ind w:left="-36" w:leftChars="-17"/>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摄影与摄像艺术</w:t>
            </w:r>
          </w:p>
          <w:p>
            <w:pPr>
              <w:widowControl/>
              <w:snapToGrid w:val="0"/>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Photography and Cinematography</w:t>
            </w:r>
          </w:p>
        </w:tc>
        <w:tc>
          <w:tcPr>
            <w:tcW w:w="719" w:type="dxa"/>
            <w:vAlign w:val="center"/>
          </w:tcPr>
          <w:p>
            <w:pPr>
              <w:adjustRightInd w:val="0"/>
              <w:snapToGrid w:val="0"/>
              <w:spacing w:line="300" w:lineRule="exact"/>
              <w:jc w:val="center"/>
              <w:rPr>
                <w:rFonts w:hint="default"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60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135105mb18</w:t>
            </w:r>
          </w:p>
        </w:tc>
        <w:tc>
          <w:tcPr>
            <w:tcW w:w="2620" w:type="dxa"/>
            <w:vAlign w:val="center"/>
          </w:tcPr>
          <w:p>
            <w:pPr>
              <w:widowControl/>
              <w:spacing w:line="300" w:lineRule="exact"/>
              <w:ind w:left="-36" w:leftChars="-17"/>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音频制作</w:t>
            </w:r>
          </w:p>
          <w:p>
            <w:pPr>
              <w:widowControl/>
              <w:snapToGrid w:val="0"/>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Audio Production</w:t>
            </w:r>
          </w:p>
        </w:tc>
        <w:tc>
          <w:tcPr>
            <w:tcW w:w="719" w:type="dxa"/>
            <w:vAlign w:val="center"/>
          </w:tcPr>
          <w:p>
            <w:pPr>
              <w:adjustRightInd w:val="0"/>
              <w:snapToGrid w:val="0"/>
              <w:spacing w:line="300" w:lineRule="exact"/>
              <w:jc w:val="center"/>
              <w:rPr>
                <w:rFonts w:hint="default"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60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方向1、2</w:t>
            </w:r>
            <w:r>
              <w:rPr>
                <w:rFonts w:hint="eastAsia" w:ascii="仿宋" w:hAnsi="仿宋" w:eastAsia="仿宋" w:cstheme="minorEastAsia"/>
                <w:color w:val="000000" w:themeColor="text1"/>
                <w:szCs w:val="21"/>
                <w:highlight w:val="none"/>
                <w14:textFill>
                  <w14:solidFill>
                    <w14:schemeClr w14:val="tx1"/>
                  </w14:solidFill>
                </w14:textFill>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135105mc30</w:t>
            </w:r>
          </w:p>
        </w:tc>
        <w:tc>
          <w:tcPr>
            <w:tcW w:w="2620" w:type="dxa"/>
            <w:vAlign w:val="center"/>
          </w:tcPr>
          <w:p>
            <w:pPr>
              <w:widowControl/>
              <w:snapToGrid w:val="0"/>
              <w:spacing w:line="300" w:lineRule="exact"/>
              <w:ind w:left="-36" w:leftChars="-17"/>
              <w:jc w:val="center"/>
              <w:rPr>
                <w:rFonts w:ascii="仿宋" w:hAnsi="仿宋" w:eastAsia="仿宋"/>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Cs w:val="21"/>
                <w:highlight w:val="none"/>
                <w14:textFill>
                  <w14:solidFill>
                    <w14:schemeClr w14:val="tx1"/>
                  </w14:solidFill>
                </w14:textFill>
              </w:rPr>
              <w:t>影像构成与色彩</w:t>
            </w:r>
          </w:p>
          <w:p>
            <w:pPr>
              <w:widowControl/>
              <w:snapToGrid w:val="0"/>
              <w:spacing w:line="300" w:lineRule="exact"/>
              <w:ind w:left="-36" w:leftChars="-17"/>
              <w:jc w:val="center"/>
              <w:rPr>
                <w:rFonts w:ascii="仿宋" w:hAnsi="仿宋" w:eastAsia="仿宋" w:cs="Times New Roman"/>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Images Forming and Color</w:t>
            </w:r>
          </w:p>
        </w:tc>
        <w:tc>
          <w:tcPr>
            <w:tcW w:w="719" w:type="dxa"/>
            <w:vAlign w:val="center"/>
          </w:tcPr>
          <w:p>
            <w:pPr>
              <w:adjustRightInd w:val="0"/>
              <w:snapToGrid w:val="0"/>
              <w:spacing w:line="300" w:lineRule="exact"/>
              <w:jc w:val="center"/>
              <w:rPr>
                <w:rFonts w:hint="default"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60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方向1</w:t>
            </w:r>
            <w:r>
              <w:rPr>
                <w:rFonts w:hint="eastAsia" w:ascii="仿宋" w:hAnsi="仿宋" w:eastAsia="仿宋" w:cstheme="minorEastAsia"/>
                <w:color w:val="000000" w:themeColor="text1"/>
                <w:szCs w:val="21"/>
                <w:highlight w:val="none"/>
                <w14:textFill>
                  <w14:solidFill>
                    <w14:schemeClr w14:val="tx1"/>
                  </w14:solidFill>
                </w14:textFill>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135105mc37</w:t>
            </w:r>
          </w:p>
        </w:tc>
        <w:tc>
          <w:tcPr>
            <w:tcW w:w="2620" w:type="dxa"/>
            <w:vAlign w:val="center"/>
          </w:tcPr>
          <w:p>
            <w:pPr>
              <w:widowControl/>
              <w:snapToGrid w:val="0"/>
              <w:spacing w:line="300" w:lineRule="exact"/>
              <w:ind w:left="-36" w:leftChars="-17"/>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播音主持作品创作</w:t>
            </w:r>
          </w:p>
          <w:p>
            <w:pPr>
              <w:widowControl/>
              <w:snapToGrid w:val="0"/>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Creation of Broadcasting &amp; Hosting</w:t>
            </w:r>
          </w:p>
        </w:tc>
        <w:tc>
          <w:tcPr>
            <w:tcW w:w="719" w:type="dxa"/>
            <w:vAlign w:val="center"/>
          </w:tcPr>
          <w:p>
            <w:pPr>
              <w:adjustRightInd w:val="0"/>
              <w:snapToGrid w:val="0"/>
              <w:spacing w:line="300" w:lineRule="exact"/>
              <w:jc w:val="center"/>
              <w:rPr>
                <w:rFonts w:hint="default"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方向2</w:t>
            </w:r>
            <w:r>
              <w:rPr>
                <w:rFonts w:hint="eastAsia" w:ascii="仿宋" w:hAnsi="仿宋" w:eastAsia="仿宋" w:cstheme="minorEastAsia"/>
                <w:color w:val="000000" w:themeColor="text1"/>
                <w:szCs w:val="21"/>
                <w:highlight w:val="none"/>
                <w14:textFill>
                  <w14:solidFill>
                    <w14:schemeClr w14:val="tx1"/>
                  </w14:solidFill>
                </w14:textFill>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135105mc38</w:t>
            </w:r>
          </w:p>
        </w:tc>
        <w:tc>
          <w:tcPr>
            <w:tcW w:w="2620" w:type="dxa"/>
            <w:vAlign w:val="center"/>
          </w:tcPr>
          <w:p>
            <w:pPr>
              <w:widowControl/>
              <w:snapToGrid w:val="0"/>
              <w:spacing w:line="300" w:lineRule="exact"/>
              <w:ind w:left="-36" w:leftChars="-17"/>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新媒体主持实践</w:t>
            </w:r>
          </w:p>
          <w:p>
            <w:pPr>
              <w:widowControl/>
              <w:snapToGrid w:val="0"/>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Practice of Broadcasting &amp; Hosting</w:t>
            </w:r>
          </w:p>
        </w:tc>
        <w:tc>
          <w:tcPr>
            <w:tcW w:w="719"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方向2、3</w:t>
            </w:r>
            <w:r>
              <w:rPr>
                <w:rFonts w:hint="eastAsia" w:ascii="仿宋" w:hAnsi="仿宋" w:eastAsia="仿宋" w:cstheme="minorEastAsia"/>
                <w:color w:val="000000" w:themeColor="text1"/>
                <w:szCs w:val="21"/>
                <w:highlight w:val="none"/>
                <w14:textFill>
                  <w14:solidFill>
                    <w14:schemeClr w14:val="tx1"/>
                  </w14:solidFill>
                </w14:textFill>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135105mc39</w:t>
            </w:r>
          </w:p>
        </w:tc>
        <w:tc>
          <w:tcPr>
            <w:tcW w:w="2620" w:type="dxa"/>
            <w:vAlign w:val="center"/>
          </w:tcPr>
          <w:p>
            <w:pPr>
              <w:widowControl/>
              <w:snapToGrid w:val="0"/>
              <w:spacing w:line="300" w:lineRule="exact"/>
              <w:ind w:left="-36" w:leftChars="-17"/>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口语传播理论与实践</w:t>
            </w:r>
          </w:p>
          <w:p>
            <w:pPr>
              <w:widowControl/>
              <w:snapToGrid w:val="0"/>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Speech Communication: Theory and Practice</w:t>
            </w:r>
          </w:p>
        </w:tc>
        <w:tc>
          <w:tcPr>
            <w:tcW w:w="719"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方向2</w:t>
            </w:r>
            <w:r>
              <w:rPr>
                <w:rFonts w:hint="eastAsia" w:ascii="仿宋" w:hAnsi="仿宋" w:eastAsia="仿宋" w:cstheme="minorEastAsia"/>
                <w:color w:val="000000" w:themeColor="text1"/>
                <w:szCs w:val="21"/>
                <w:highlight w:val="none"/>
                <w14:textFill>
                  <w14:solidFill>
                    <w14:schemeClr w14:val="tx1"/>
                  </w14:solidFill>
                </w14:textFill>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135105mb07</w:t>
            </w:r>
          </w:p>
        </w:tc>
        <w:tc>
          <w:tcPr>
            <w:tcW w:w="2620" w:type="dxa"/>
            <w:vAlign w:val="center"/>
          </w:tcPr>
          <w:p>
            <w:pPr>
              <w:widowControl/>
              <w:snapToGrid w:val="0"/>
              <w:spacing w:line="300" w:lineRule="exact"/>
              <w:ind w:left="-36" w:leftChars="-17"/>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新媒体艺术</w:t>
            </w:r>
          </w:p>
          <w:p>
            <w:pPr>
              <w:widowControl/>
              <w:snapToGrid w:val="0"/>
              <w:spacing w:line="300" w:lineRule="exact"/>
              <w:ind w:left="-36" w:leftChars="-17"/>
              <w:jc w:val="center"/>
              <w:rPr>
                <w:rFonts w:ascii="仿宋" w:hAnsi="仿宋" w:eastAsia="仿宋" w:cs="Times New Roman"/>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New Media Art</w:t>
            </w:r>
          </w:p>
        </w:tc>
        <w:tc>
          <w:tcPr>
            <w:tcW w:w="719"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60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方向1、3</w:t>
            </w:r>
            <w:r>
              <w:rPr>
                <w:rFonts w:hint="eastAsia" w:ascii="仿宋" w:hAnsi="仿宋" w:eastAsia="仿宋" w:cstheme="minorEastAsia"/>
                <w:color w:val="000000" w:themeColor="text1"/>
                <w:szCs w:val="21"/>
                <w:highlight w:val="none"/>
                <w14:textFill>
                  <w14:solidFill>
                    <w14:schemeClr w14:val="tx1"/>
                  </w14:solidFill>
                </w14:textFill>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055200mc56</w:t>
            </w:r>
          </w:p>
        </w:tc>
        <w:tc>
          <w:tcPr>
            <w:tcW w:w="2620" w:type="dxa"/>
            <w:vAlign w:val="center"/>
          </w:tcPr>
          <w:p>
            <w:pPr>
              <w:widowControl/>
              <w:snapToGrid w:val="0"/>
              <w:spacing w:line="300" w:lineRule="exact"/>
              <w:ind w:left="-36" w:leftChars="-17"/>
              <w:jc w:val="center"/>
              <w:rPr>
                <w:rFonts w:ascii="仿宋" w:hAnsi="仿宋" w:eastAsia="仿宋"/>
                <w:color w:val="000000" w:themeColor="text1"/>
                <w:kern w:val="0"/>
                <w:szCs w:val="21"/>
                <w:highlight w:val="none"/>
                <w14:textFill>
                  <w14:solidFill>
                    <w14:schemeClr w14:val="tx1"/>
                  </w14:solidFill>
                </w14:textFill>
              </w:rPr>
            </w:pPr>
            <w:r>
              <w:rPr>
                <w:rFonts w:ascii="仿宋" w:hAnsi="仿宋" w:eastAsia="仿宋"/>
                <w:color w:val="000000" w:themeColor="text1"/>
                <w:kern w:val="0"/>
                <w:szCs w:val="21"/>
                <w:highlight w:val="none"/>
                <w14:textFill>
                  <w14:solidFill>
                    <w14:schemeClr w14:val="tx1"/>
                  </w14:solidFill>
                </w14:textFill>
              </w:rPr>
              <w:t>跨文化传播</w:t>
            </w:r>
          </w:p>
          <w:p>
            <w:pPr>
              <w:widowControl/>
              <w:snapToGrid w:val="0"/>
              <w:spacing w:line="300" w:lineRule="exact"/>
              <w:ind w:left="-36" w:leftChars="-17"/>
              <w:jc w:val="center"/>
              <w:rPr>
                <w:rFonts w:ascii="仿宋" w:hAnsi="仿宋" w:eastAsia="仿宋" w:cs="Times New Roman"/>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Intercultural</w:t>
            </w:r>
            <w:r>
              <w:rPr>
                <w:rFonts w:hint="default" w:ascii="仿宋" w:hAnsi="仿宋" w:eastAsia="仿宋" w:cs="宋体"/>
                <w:bCs/>
                <w:color w:val="000000" w:themeColor="text1"/>
                <w:kern w:val="0"/>
                <w:szCs w:val="21"/>
                <w:highlight w:val="none"/>
                <w14:textFill>
                  <w14:solidFill>
                    <w14:schemeClr w14:val="tx1"/>
                  </w14:solidFill>
                </w14:textFill>
              </w:rPr>
              <w:t xml:space="preserve"> </w:t>
            </w:r>
            <w:r>
              <w:rPr>
                <w:rFonts w:hint="eastAsia" w:ascii="仿宋" w:hAnsi="仿宋" w:eastAsia="仿宋" w:cs="宋体"/>
                <w:bCs/>
                <w:color w:val="000000" w:themeColor="text1"/>
                <w:kern w:val="0"/>
                <w:szCs w:val="21"/>
                <w:highlight w:val="none"/>
                <w14:textFill>
                  <w14:solidFill>
                    <w14:schemeClr w14:val="tx1"/>
                  </w14:solidFill>
                </w14:textFill>
              </w:rPr>
              <w:t>Communication</w:t>
            </w:r>
          </w:p>
        </w:tc>
        <w:tc>
          <w:tcPr>
            <w:tcW w:w="719" w:type="dxa"/>
            <w:vAlign w:val="center"/>
          </w:tcPr>
          <w:p>
            <w:pPr>
              <w:adjustRightInd w:val="0"/>
              <w:snapToGrid w:val="0"/>
              <w:spacing w:line="300" w:lineRule="exact"/>
              <w:jc w:val="center"/>
              <w:rPr>
                <w:rFonts w:hint="default"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方向3</w:t>
            </w:r>
            <w:r>
              <w:rPr>
                <w:rFonts w:hint="eastAsia" w:ascii="仿宋" w:hAnsi="仿宋" w:eastAsia="仿宋" w:cstheme="minorEastAsia"/>
                <w:color w:val="000000" w:themeColor="text1"/>
                <w:szCs w:val="21"/>
                <w:highlight w:val="none"/>
                <w14:textFill>
                  <w14:solidFill>
                    <w14:schemeClr w14:val="tx1"/>
                  </w14:solidFill>
                </w14:textFill>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050302mc18</w:t>
            </w:r>
          </w:p>
        </w:tc>
        <w:tc>
          <w:tcPr>
            <w:tcW w:w="2620" w:type="dxa"/>
            <w:vAlign w:val="center"/>
          </w:tcPr>
          <w:p>
            <w:pPr>
              <w:widowControl/>
              <w:snapToGrid w:val="0"/>
              <w:spacing w:line="300" w:lineRule="exact"/>
              <w:ind w:left="-36" w:leftChars="-17"/>
              <w:jc w:val="center"/>
              <w:rPr>
                <w:rFonts w:ascii="仿宋" w:hAnsi="仿宋" w:eastAsia="仿宋"/>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Cs w:val="21"/>
                <w:highlight w:val="none"/>
                <w14:textFill>
                  <w14:solidFill>
                    <w14:schemeClr w14:val="tx1"/>
                  </w14:solidFill>
                </w14:textFill>
              </w:rPr>
              <w:t>品牌战略与传播研究</w:t>
            </w:r>
          </w:p>
          <w:p>
            <w:pPr>
              <w:widowControl/>
              <w:snapToGrid w:val="0"/>
              <w:spacing w:line="300" w:lineRule="exact"/>
              <w:ind w:left="-36" w:leftChars="-17"/>
              <w:jc w:val="center"/>
              <w:rPr>
                <w:rFonts w:ascii="仿宋" w:hAnsi="仿宋" w:eastAsia="仿宋" w:cs="Times New Roman"/>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Study of Branding Strategy and Communication</w:t>
            </w:r>
          </w:p>
        </w:tc>
        <w:tc>
          <w:tcPr>
            <w:tcW w:w="719" w:type="dxa"/>
            <w:vAlign w:val="center"/>
          </w:tcPr>
          <w:p>
            <w:pPr>
              <w:adjustRightInd w:val="0"/>
              <w:snapToGrid w:val="0"/>
              <w:spacing w:line="300" w:lineRule="exact"/>
              <w:jc w:val="center"/>
              <w:rPr>
                <w:rFonts w:hint="default"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方向3</w:t>
            </w:r>
            <w:r>
              <w:rPr>
                <w:rFonts w:hint="eastAsia" w:ascii="仿宋" w:hAnsi="仿宋" w:eastAsia="仿宋" w:cstheme="minorEastAsia"/>
                <w:color w:val="000000" w:themeColor="text1"/>
                <w:szCs w:val="21"/>
                <w:highlight w:val="none"/>
                <w14:textFill>
                  <w14:solidFill>
                    <w14:schemeClr w14:val="tx1"/>
                  </w14:solidFill>
                </w14:textFill>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135105mc17</w:t>
            </w:r>
          </w:p>
        </w:tc>
        <w:tc>
          <w:tcPr>
            <w:tcW w:w="2620" w:type="dxa"/>
            <w:vAlign w:val="center"/>
          </w:tcPr>
          <w:p>
            <w:pPr>
              <w:widowControl/>
              <w:snapToGrid w:val="0"/>
              <w:spacing w:line="300" w:lineRule="exact"/>
              <w:ind w:left="-36" w:leftChars="-17"/>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声音艺术与文化</w:t>
            </w:r>
          </w:p>
          <w:p>
            <w:pPr>
              <w:widowControl/>
              <w:snapToGrid w:val="0"/>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Audio Art and Culture</w:t>
            </w:r>
          </w:p>
        </w:tc>
        <w:tc>
          <w:tcPr>
            <w:tcW w:w="719"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055200mc43</w:t>
            </w:r>
          </w:p>
        </w:tc>
        <w:tc>
          <w:tcPr>
            <w:tcW w:w="2620" w:type="dxa"/>
            <w:vAlign w:val="center"/>
          </w:tcPr>
          <w:p>
            <w:pPr>
              <w:widowControl/>
              <w:snapToGrid w:val="0"/>
              <w:spacing w:line="300" w:lineRule="exact"/>
              <w:ind w:left="-36" w:leftChars="-17"/>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视听传播理论</w:t>
            </w:r>
          </w:p>
          <w:p>
            <w:pPr>
              <w:widowControl/>
              <w:snapToGrid w:val="0"/>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Audiovisual Communication Theories</w:t>
            </w:r>
          </w:p>
        </w:tc>
        <w:tc>
          <w:tcPr>
            <w:tcW w:w="719"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050106mc10</w:t>
            </w:r>
          </w:p>
        </w:tc>
        <w:tc>
          <w:tcPr>
            <w:tcW w:w="2620" w:type="dxa"/>
            <w:vAlign w:val="center"/>
          </w:tcPr>
          <w:p>
            <w:pPr>
              <w:widowControl/>
              <w:snapToGrid w:val="0"/>
              <w:spacing w:line="300" w:lineRule="exact"/>
              <w:ind w:left="-36" w:leftChars="-17"/>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影视文化研究</w:t>
            </w:r>
          </w:p>
          <w:p>
            <w:pPr>
              <w:widowControl/>
              <w:snapToGrid w:val="0"/>
              <w:spacing w:line="300" w:lineRule="exact"/>
              <w:ind w:left="-36" w:leftChars="-17"/>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A Study of Film and Television Culture</w:t>
            </w:r>
          </w:p>
        </w:tc>
        <w:tc>
          <w:tcPr>
            <w:tcW w:w="719"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widowControl/>
              <w:snapToGrid w:val="0"/>
              <w:spacing w:line="300" w:lineRule="exact"/>
              <w:ind w:left="-36" w:leftChars="-17"/>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widowControl/>
              <w:snapToGrid w:val="0"/>
              <w:spacing w:line="300" w:lineRule="exact"/>
              <w:ind w:left="-36" w:leftChars="-17"/>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3</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napToGrid w:val="0"/>
              <w:spacing w:line="300" w:lineRule="exact"/>
              <w:ind w:left="-36" w:leftChars="-17"/>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考试或考查</w:t>
            </w:r>
          </w:p>
        </w:tc>
        <w:tc>
          <w:tcPr>
            <w:tcW w:w="818" w:type="dxa"/>
            <w:vAlign w:val="center"/>
          </w:tcPr>
          <w:p>
            <w:pPr>
              <w:widowControl/>
              <w:snapToGrid w:val="0"/>
              <w:spacing w:line="300" w:lineRule="exact"/>
              <w:ind w:left="-36" w:leftChars="-17"/>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135105mc48</w:t>
            </w:r>
          </w:p>
        </w:tc>
        <w:tc>
          <w:tcPr>
            <w:tcW w:w="2620" w:type="dxa"/>
            <w:vAlign w:val="center"/>
          </w:tcPr>
          <w:p>
            <w:pPr>
              <w:widowControl/>
              <w:spacing w:line="300" w:lineRule="exact"/>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影视声音研究</w:t>
            </w:r>
          </w:p>
          <w:p>
            <w:pPr>
              <w:widowControl/>
              <w:spacing w:line="300" w:lineRule="exact"/>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 xml:space="preserve"> Sound Studies of Film and Video</w:t>
            </w:r>
          </w:p>
        </w:tc>
        <w:tc>
          <w:tcPr>
            <w:tcW w:w="719" w:type="dxa"/>
            <w:vAlign w:val="center"/>
          </w:tcPr>
          <w:p>
            <w:pPr>
              <w:adjustRightInd w:val="0"/>
              <w:snapToGrid w:val="0"/>
              <w:spacing w:line="300" w:lineRule="exact"/>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widowControl/>
              <w:spacing w:line="300" w:lineRule="exact"/>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w:t>
            </w:r>
          </w:p>
        </w:tc>
        <w:tc>
          <w:tcPr>
            <w:tcW w:w="637" w:type="dxa"/>
            <w:vAlign w:val="center"/>
          </w:tcPr>
          <w:p>
            <w:pPr>
              <w:widowControl/>
              <w:spacing w:line="300" w:lineRule="exact"/>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3</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考试或考查</w:t>
            </w:r>
          </w:p>
        </w:tc>
        <w:tc>
          <w:tcPr>
            <w:tcW w:w="818" w:type="dxa"/>
            <w:vAlign w:val="center"/>
          </w:tcPr>
          <w:p>
            <w:pPr>
              <w:widowControl/>
              <w:spacing w:line="300" w:lineRule="exact"/>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135105mc50</w:t>
            </w:r>
          </w:p>
        </w:tc>
        <w:tc>
          <w:tcPr>
            <w:tcW w:w="2620" w:type="dxa"/>
            <w:vAlign w:val="center"/>
          </w:tcPr>
          <w:p>
            <w:pPr>
              <w:widowControl/>
              <w:snapToGrid w:val="0"/>
              <w:spacing w:line="300" w:lineRule="exact"/>
              <w:ind w:left="-36" w:leftChars="-17"/>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纪录片创作实践</w:t>
            </w:r>
          </w:p>
          <w:p>
            <w:pPr>
              <w:widowControl/>
              <w:snapToGrid w:val="0"/>
              <w:spacing w:line="300" w:lineRule="exact"/>
              <w:ind w:left="-36" w:leftChars="-17"/>
              <w:jc w:val="center"/>
              <w:rPr>
                <w:rFonts w:ascii="仿宋" w:hAnsi="仿宋" w:eastAsia="仿宋" w:cs="宋体"/>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 xml:space="preserve">Documentary </w:t>
            </w:r>
            <w:r>
              <w:rPr>
                <w:rFonts w:hint="default" w:ascii="仿宋" w:hAnsi="仿宋" w:eastAsia="仿宋" w:cs="宋体"/>
                <w:color w:val="000000" w:themeColor="text1"/>
                <w:sz w:val="21"/>
                <w:highlight w:val="none"/>
                <w14:textFill>
                  <w14:solidFill>
                    <w14:schemeClr w14:val="tx1"/>
                  </w14:solidFill>
                </w14:textFill>
              </w:rPr>
              <w:t xml:space="preserve">Creation </w:t>
            </w:r>
            <w:r>
              <w:rPr>
                <w:rFonts w:hint="eastAsia" w:ascii="仿宋" w:hAnsi="仿宋" w:eastAsia="仿宋" w:cs="宋体"/>
                <w:color w:val="000000" w:themeColor="text1"/>
                <w:sz w:val="21"/>
                <w:highlight w:val="none"/>
                <w14:textFill>
                  <w14:solidFill>
                    <w14:schemeClr w14:val="tx1"/>
                  </w14:solidFill>
                </w14:textFill>
              </w:rPr>
              <w:t>Practice</w:t>
            </w:r>
          </w:p>
        </w:tc>
        <w:tc>
          <w:tcPr>
            <w:tcW w:w="719"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135105mc24</w:t>
            </w:r>
          </w:p>
        </w:tc>
        <w:tc>
          <w:tcPr>
            <w:tcW w:w="2620" w:type="dxa"/>
            <w:vAlign w:val="center"/>
          </w:tcPr>
          <w:p>
            <w:pPr>
              <w:spacing w:line="300" w:lineRule="exact"/>
              <w:ind w:left="-36" w:leftChars="-17"/>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中外广播电视史</w:t>
            </w:r>
          </w:p>
          <w:p>
            <w:pPr>
              <w:spacing w:line="300" w:lineRule="exact"/>
              <w:ind w:left="-36" w:leftChars="-17"/>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 xml:space="preserve">History of </w:t>
            </w:r>
            <w:r>
              <w:rPr>
                <w:rFonts w:hint="eastAsia" w:ascii="仿宋" w:hAnsi="仿宋" w:eastAsia="仿宋" w:cs="宋体"/>
                <w:bCs/>
                <w:color w:val="000000" w:themeColor="text1"/>
                <w:kern w:val="0"/>
                <w:szCs w:val="21"/>
                <w:highlight w:val="none"/>
                <w:lang w:val="en-US" w:eastAsia="zh-Hans"/>
                <w14:textFill>
                  <w14:solidFill>
                    <w14:schemeClr w14:val="tx1"/>
                  </w14:solidFill>
                </w14:textFill>
              </w:rPr>
              <w:t>Chinese</w:t>
            </w:r>
            <w:r>
              <w:rPr>
                <w:rFonts w:hint="default" w:ascii="仿宋" w:hAnsi="仿宋" w:eastAsia="仿宋" w:cs="宋体"/>
                <w:bCs/>
                <w:color w:val="000000" w:themeColor="text1"/>
                <w:kern w:val="0"/>
                <w:szCs w:val="21"/>
                <w:highlight w:val="none"/>
                <w:lang w:eastAsia="zh-Hans"/>
                <w14:textFill>
                  <w14:solidFill>
                    <w14:schemeClr w14:val="tx1"/>
                  </w14:solidFill>
                </w14:textFill>
              </w:rPr>
              <w:t xml:space="preserve"> </w:t>
            </w:r>
            <w:r>
              <w:rPr>
                <w:rFonts w:hint="eastAsia" w:ascii="仿宋" w:hAnsi="仿宋" w:eastAsia="仿宋" w:cs="宋体"/>
                <w:bCs/>
                <w:color w:val="000000" w:themeColor="text1"/>
                <w:kern w:val="0"/>
                <w:szCs w:val="21"/>
                <w:highlight w:val="none"/>
                <w:lang w:val="en-US" w:eastAsia="zh-Hans"/>
                <w14:textFill>
                  <w14:solidFill>
                    <w14:schemeClr w14:val="tx1"/>
                  </w14:solidFill>
                </w14:textFill>
              </w:rPr>
              <w:t>and</w:t>
            </w:r>
            <w:r>
              <w:rPr>
                <w:rFonts w:hint="default" w:ascii="仿宋" w:hAnsi="仿宋" w:eastAsia="仿宋" w:cs="宋体"/>
                <w:bCs/>
                <w:color w:val="000000" w:themeColor="text1"/>
                <w:kern w:val="0"/>
                <w:szCs w:val="21"/>
                <w:highlight w:val="none"/>
                <w:lang w:eastAsia="zh-Hans"/>
                <w14:textFill>
                  <w14:solidFill>
                    <w14:schemeClr w14:val="tx1"/>
                  </w14:solidFill>
                </w14:textFill>
              </w:rPr>
              <w:t xml:space="preserve"> </w:t>
            </w:r>
            <w:r>
              <w:rPr>
                <w:rFonts w:hint="eastAsia" w:ascii="仿宋" w:hAnsi="仿宋" w:eastAsia="仿宋" w:cs="宋体"/>
                <w:bCs/>
                <w:color w:val="000000" w:themeColor="text1"/>
                <w:kern w:val="0"/>
                <w:szCs w:val="21"/>
                <w:highlight w:val="none"/>
                <w:lang w:val="en-US" w:eastAsia="zh-Hans"/>
                <w14:textFill>
                  <w14:solidFill>
                    <w14:schemeClr w14:val="tx1"/>
                  </w14:solidFill>
                </w14:textFill>
              </w:rPr>
              <w:t>Foreign</w:t>
            </w:r>
            <w:r>
              <w:rPr>
                <w:rFonts w:hint="default" w:ascii="仿宋" w:hAnsi="仿宋" w:eastAsia="仿宋" w:cs="宋体"/>
                <w:bCs/>
                <w:color w:val="000000" w:themeColor="text1"/>
                <w:kern w:val="0"/>
                <w:szCs w:val="21"/>
                <w:highlight w:val="none"/>
                <w:lang w:eastAsia="zh-Hans"/>
                <w14:textFill>
                  <w14:solidFill>
                    <w14:schemeClr w14:val="tx1"/>
                  </w14:solidFill>
                </w14:textFill>
              </w:rPr>
              <w:t xml:space="preserve"> </w:t>
            </w:r>
            <w:r>
              <w:rPr>
                <w:rFonts w:hint="eastAsia" w:ascii="仿宋" w:hAnsi="仿宋" w:eastAsia="仿宋" w:cs="宋体"/>
                <w:bCs/>
                <w:color w:val="000000" w:themeColor="text1"/>
                <w:kern w:val="0"/>
                <w:szCs w:val="21"/>
                <w:highlight w:val="none"/>
                <w:lang w:val="en-US" w:eastAsia="zh-CN"/>
                <w14:textFill>
                  <w14:solidFill>
                    <w14:schemeClr w14:val="tx1"/>
                  </w14:solidFill>
                </w14:textFill>
              </w:rPr>
              <w:t>Radio</w:t>
            </w:r>
            <w:r>
              <w:rPr>
                <w:rFonts w:hint="default" w:ascii="仿宋" w:hAnsi="仿宋" w:eastAsia="仿宋" w:cs="宋体"/>
                <w:bCs/>
                <w:color w:val="000000" w:themeColor="text1"/>
                <w:kern w:val="0"/>
                <w:szCs w:val="21"/>
                <w:highlight w:val="none"/>
                <w:lang w:eastAsia="zh-Hans"/>
                <w14:textFill>
                  <w14:solidFill>
                    <w14:schemeClr w14:val="tx1"/>
                  </w14:solidFill>
                </w14:textFill>
              </w:rPr>
              <w:t xml:space="preserve"> &amp; </w:t>
            </w:r>
            <w:r>
              <w:rPr>
                <w:rFonts w:hint="eastAsia" w:ascii="仿宋" w:hAnsi="仿宋" w:eastAsia="仿宋" w:cs="宋体"/>
                <w:bCs/>
                <w:color w:val="000000" w:themeColor="text1"/>
                <w:kern w:val="0"/>
                <w:szCs w:val="21"/>
                <w:highlight w:val="none"/>
                <w:lang w:val="en-US" w:eastAsia="zh-Hans"/>
                <w14:textFill>
                  <w14:solidFill>
                    <w14:schemeClr w14:val="tx1"/>
                  </w14:solidFill>
                </w14:textFill>
              </w:rPr>
              <w:t>Televison</w:t>
            </w:r>
          </w:p>
        </w:tc>
        <w:tc>
          <w:tcPr>
            <w:tcW w:w="719" w:type="dxa"/>
            <w:vAlign w:val="center"/>
          </w:tcPr>
          <w:p>
            <w:pPr>
              <w:widowControl/>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40</w:t>
            </w:r>
          </w:p>
        </w:tc>
        <w:tc>
          <w:tcPr>
            <w:tcW w:w="663" w:type="dxa"/>
            <w:vAlign w:val="center"/>
          </w:tcPr>
          <w:p>
            <w:pPr>
              <w:widowControl/>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w:t>
            </w:r>
          </w:p>
        </w:tc>
        <w:tc>
          <w:tcPr>
            <w:tcW w:w="637" w:type="dxa"/>
            <w:vAlign w:val="center"/>
          </w:tcPr>
          <w:p>
            <w:pPr>
              <w:widowControl/>
              <w:spacing w:line="300" w:lineRule="exact"/>
              <w:jc w:val="center"/>
              <w:rPr>
                <w:rFonts w:ascii="仿宋" w:hAnsi="仿宋" w:eastAsia="仿宋" w:cstheme="minorEastAsia"/>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w:t>
            </w:r>
          </w:p>
        </w:tc>
        <w:tc>
          <w:tcPr>
            <w:tcW w:w="646"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留学生选修课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050301mc47</w:t>
            </w:r>
          </w:p>
        </w:tc>
        <w:tc>
          <w:tcPr>
            <w:tcW w:w="2620" w:type="dxa"/>
            <w:vAlign w:val="center"/>
          </w:tcPr>
          <w:p>
            <w:pPr>
              <w:spacing w:line="300" w:lineRule="exact"/>
              <w:ind w:left="-36" w:leftChars="-17"/>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港澳台媒体研究</w:t>
            </w:r>
          </w:p>
          <w:p>
            <w:pPr>
              <w:spacing w:line="300" w:lineRule="exact"/>
              <w:ind w:left="-36" w:leftChars="-17"/>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Study on Media in Hong Kong, Macau and Taiwan</w:t>
            </w:r>
          </w:p>
        </w:tc>
        <w:tc>
          <w:tcPr>
            <w:tcW w:w="719" w:type="dxa"/>
            <w:vAlign w:val="center"/>
          </w:tcPr>
          <w:p>
            <w:pPr>
              <w:widowControl/>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40</w:t>
            </w:r>
          </w:p>
        </w:tc>
        <w:tc>
          <w:tcPr>
            <w:tcW w:w="663" w:type="dxa"/>
            <w:vAlign w:val="center"/>
          </w:tcPr>
          <w:p>
            <w:pPr>
              <w:widowControl/>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w:t>
            </w:r>
          </w:p>
        </w:tc>
        <w:tc>
          <w:tcPr>
            <w:tcW w:w="637" w:type="dxa"/>
            <w:vAlign w:val="center"/>
          </w:tcPr>
          <w:p>
            <w:pPr>
              <w:widowControl/>
              <w:spacing w:line="300" w:lineRule="exact"/>
              <w:jc w:val="center"/>
              <w:rPr>
                <w:rFonts w:ascii="仿宋" w:hAnsi="仿宋" w:eastAsia="仿宋" w:cstheme="minorEastAsia"/>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w:t>
            </w:r>
          </w:p>
        </w:tc>
        <w:tc>
          <w:tcPr>
            <w:tcW w:w="646"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外招生选修课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055200mc63</w:t>
            </w:r>
          </w:p>
        </w:tc>
        <w:tc>
          <w:tcPr>
            <w:tcW w:w="2620" w:type="dxa"/>
            <w:vAlign w:val="center"/>
          </w:tcPr>
          <w:p>
            <w:pPr>
              <w:spacing w:line="300" w:lineRule="exact"/>
              <w:ind w:left="-36" w:leftChars="-17"/>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海外华文传媒</w:t>
            </w:r>
          </w:p>
          <w:p>
            <w:pPr>
              <w:spacing w:line="300" w:lineRule="exact"/>
              <w:ind w:left="-36" w:leftChars="-17"/>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Overseas</w:t>
            </w:r>
            <w:r>
              <w:rPr>
                <w:rFonts w:hint="default" w:ascii="仿宋" w:hAnsi="仿宋" w:eastAsia="仿宋" w:cs="宋体"/>
                <w:bCs/>
                <w:color w:val="000000" w:themeColor="text1"/>
                <w:kern w:val="0"/>
                <w:szCs w:val="21"/>
                <w:highlight w:val="none"/>
                <w14:textFill>
                  <w14:solidFill>
                    <w14:schemeClr w14:val="tx1"/>
                  </w14:solidFill>
                </w14:textFill>
              </w:rPr>
              <w:t xml:space="preserve"> </w:t>
            </w:r>
            <w:r>
              <w:rPr>
                <w:rFonts w:hint="eastAsia" w:ascii="仿宋" w:hAnsi="仿宋" w:eastAsia="仿宋" w:cs="宋体"/>
                <w:bCs/>
                <w:color w:val="000000" w:themeColor="text1"/>
                <w:kern w:val="0"/>
                <w:szCs w:val="21"/>
                <w:highlight w:val="none"/>
                <w14:textFill>
                  <w14:solidFill>
                    <w14:schemeClr w14:val="tx1"/>
                  </w14:solidFill>
                </w14:textFill>
              </w:rPr>
              <w:t xml:space="preserve">Chinese Media </w:t>
            </w:r>
          </w:p>
        </w:tc>
        <w:tc>
          <w:tcPr>
            <w:tcW w:w="719" w:type="dxa"/>
            <w:vAlign w:val="center"/>
          </w:tcPr>
          <w:p>
            <w:pPr>
              <w:widowControl/>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40</w:t>
            </w:r>
          </w:p>
        </w:tc>
        <w:tc>
          <w:tcPr>
            <w:tcW w:w="663" w:type="dxa"/>
            <w:vAlign w:val="center"/>
          </w:tcPr>
          <w:p>
            <w:pPr>
              <w:widowControl/>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w:t>
            </w:r>
          </w:p>
        </w:tc>
        <w:tc>
          <w:tcPr>
            <w:tcW w:w="637" w:type="dxa"/>
            <w:vAlign w:val="center"/>
          </w:tcPr>
          <w:p>
            <w:pPr>
              <w:widowControl/>
              <w:spacing w:line="300" w:lineRule="exact"/>
              <w:jc w:val="center"/>
              <w:rPr>
                <w:rFonts w:ascii="仿宋" w:hAnsi="仿宋" w:eastAsia="仿宋" w:cstheme="minorEastAsia"/>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w:t>
            </w:r>
          </w:p>
        </w:tc>
        <w:tc>
          <w:tcPr>
            <w:tcW w:w="646" w:type="dxa"/>
            <w:vAlign w:val="center"/>
          </w:tcPr>
          <w:p>
            <w:pPr>
              <w:adjustRightInd w:val="0"/>
              <w:snapToGrid w:val="0"/>
              <w:spacing w:line="300" w:lineRule="exact"/>
              <w:jc w:val="center"/>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留学生、外招生选修课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1055300mc19</w:t>
            </w:r>
          </w:p>
        </w:tc>
        <w:tc>
          <w:tcPr>
            <w:tcW w:w="2620" w:type="dxa"/>
            <w:vAlign w:val="center"/>
          </w:tcPr>
          <w:p>
            <w:pPr>
              <w:widowControl/>
              <w:spacing w:line="300" w:lineRule="exact"/>
              <w:ind w:left="-36" w:leftChars="-17"/>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论文写作与学术规范</w:t>
            </w:r>
          </w:p>
          <w:p>
            <w:pPr>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Thesis Writing and Academic Norms</w:t>
            </w:r>
          </w:p>
        </w:tc>
        <w:tc>
          <w:tcPr>
            <w:tcW w:w="719" w:type="dxa"/>
            <w:vAlign w:val="center"/>
          </w:tcPr>
          <w:p>
            <w:pPr>
              <w:adjustRightInd w:val="0"/>
              <w:snapToGrid w:val="0"/>
              <w:spacing w:line="300" w:lineRule="exact"/>
              <w:jc w:val="center"/>
              <w:rPr>
                <w:rFonts w:hint="default"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20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w:t>
            </w:r>
          </w:p>
        </w:tc>
        <w:tc>
          <w:tcPr>
            <w:tcW w:w="637" w:type="dxa"/>
            <w:vAlign w:val="center"/>
          </w:tcPr>
          <w:p>
            <w:pPr>
              <w:adjustRightInd w:val="0"/>
              <w:snapToGrid w:val="0"/>
              <w:spacing w:line="300" w:lineRule="exact"/>
              <w:jc w:val="center"/>
              <w:rPr>
                <w:rFonts w:hint="eastAsia"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2</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考试或考查</w:t>
            </w:r>
          </w:p>
        </w:tc>
        <w:tc>
          <w:tcPr>
            <w:tcW w:w="818"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135105mc32</w:t>
            </w:r>
          </w:p>
        </w:tc>
        <w:tc>
          <w:tcPr>
            <w:tcW w:w="2620" w:type="dxa"/>
            <w:vAlign w:val="center"/>
          </w:tcPr>
          <w:p>
            <w:pPr>
              <w:spacing w:line="300" w:lineRule="exact"/>
              <w:ind w:left="-36" w:leftChars="-17"/>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实训工作坊</w:t>
            </w:r>
          </w:p>
          <w:p>
            <w:pPr>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kern w:val="0"/>
                <w:sz w:val="21"/>
                <w:highlight w:val="none"/>
                <w14:textFill>
                  <w14:solidFill>
                    <w14:schemeClr w14:val="tx1"/>
                  </w14:solidFill>
                </w14:textFill>
              </w:rPr>
              <w:t>Training Workshop</w:t>
            </w:r>
          </w:p>
        </w:tc>
        <w:tc>
          <w:tcPr>
            <w:tcW w:w="719" w:type="dxa"/>
            <w:vAlign w:val="center"/>
          </w:tcPr>
          <w:p>
            <w:pPr>
              <w:adjustRightInd w:val="0"/>
              <w:snapToGrid w:val="0"/>
              <w:spacing w:line="300" w:lineRule="exact"/>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lang w:val="en-US" w:eastAsia="zh-CN"/>
                <w14:textFill>
                  <w14:solidFill>
                    <w14:schemeClr w14:val="tx1"/>
                  </w14:solidFill>
                </w14:textFill>
              </w:rPr>
              <w:t>40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2</w:t>
            </w:r>
          </w:p>
        </w:tc>
        <w:tc>
          <w:tcPr>
            <w:tcW w:w="637" w:type="dxa"/>
            <w:vAlign w:val="center"/>
          </w:tcPr>
          <w:p>
            <w:pPr>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考查</w:t>
            </w:r>
          </w:p>
        </w:tc>
        <w:tc>
          <w:tcPr>
            <w:tcW w:w="818"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105590mc06</w:t>
            </w:r>
          </w:p>
        </w:tc>
        <w:tc>
          <w:tcPr>
            <w:tcW w:w="2620" w:type="dxa"/>
            <w:vAlign w:val="center"/>
          </w:tcPr>
          <w:p>
            <w:pPr>
              <w:widowControl/>
              <w:spacing w:line="300" w:lineRule="exact"/>
              <w:jc w:val="center"/>
              <w:rPr>
                <w:rFonts w:hint="eastAsia"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实践教学</w:t>
            </w:r>
          </w:p>
          <w:p>
            <w:pPr>
              <w:widowControl/>
              <w:spacing w:line="300" w:lineRule="exact"/>
              <w:jc w:val="center"/>
              <w:rPr>
                <w:rFonts w:hint="eastAsia"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lang w:val="en-US" w:eastAsia="zh-CN"/>
                <w14:textFill>
                  <w14:solidFill>
                    <w14:schemeClr w14:val="tx1"/>
                  </w14:solidFill>
                </w14:textFill>
              </w:rPr>
              <w:t>Practice Project</w:t>
            </w:r>
          </w:p>
        </w:tc>
        <w:tc>
          <w:tcPr>
            <w:tcW w:w="719" w:type="dxa"/>
            <w:vAlign w:val="center"/>
          </w:tcPr>
          <w:p>
            <w:pPr>
              <w:widowControl/>
              <w:spacing w:line="300" w:lineRule="exact"/>
              <w:jc w:val="center"/>
              <w:rPr>
                <w:rFonts w:hint="default"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lang w:val="en-US" w:eastAsia="zh-CN"/>
                <w14:textFill>
                  <w14:solidFill>
                    <w14:schemeClr w14:val="tx1"/>
                  </w14:solidFill>
                </w14:textFill>
              </w:rPr>
              <w:t>120</w:t>
            </w:r>
          </w:p>
        </w:tc>
        <w:tc>
          <w:tcPr>
            <w:tcW w:w="663" w:type="dxa"/>
            <w:vAlign w:val="center"/>
          </w:tcPr>
          <w:p>
            <w:pPr>
              <w:widowControl/>
              <w:spacing w:line="300" w:lineRule="exact"/>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w:t>
            </w:r>
          </w:p>
        </w:tc>
        <w:tc>
          <w:tcPr>
            <w:tcW w:w="637" w:type="dxa"/>
            <w:vAlign w:val="center"/>
          </w:tcPr>
          <w:p>
            <w:pPr>
              <w:widowControl/>
              <w:spacing w:line="300" w:lineRule="exact"/>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lang w:val="en-US" w:eastAsia="zh-CN"/>
                <w14:textFill>
                  <w14:solidFill>
                    <w14:schemeClr w14:val="tx1"/>
                  </w14:solidFill>
                </w14:textFill>
              </w:rPr>
              <w:t>4</w:t>
            </w:r>
            <w:r>
              <w:rPr>
                <w:rFonts w:hint="eastAsia" w:ascii="仿宋" w:hAnsi="仿宋" w:eastAsia="仿宋" w:cs="宋体"/>
                <w:color w:val="000000" w:themeColor="text1"/>
                <w:kern w:val="0"/>
                <w:szCs w:val="21"/>
                <w:highlight w:val="none"/>
                <w14:textFill>
                  <w14:solidFill>
                    <w14:schemeClr w14:val="tx1"/>
                  </w14:solidFill>
                </w14:textFill>
              </w:rPr>
              <w:t>-6</w:t>
            </w:r>
          </w:p>
        </w:tc>
        <w:tc>
          <w:tcPr>
            <w:tcW w:w="646" w:type="dxa"/>
            <w:vAlign w:val="center"/>
          </w:tcPr>
          <w:p>
            <w:pPr>
              <w:widowControl/>
              <w:spacing w:line="300" w:lineRule="exact"/>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本单位</w:t>
            </w:r>
          </w:p>
        </w:tc>
        <w:tc>
          <w:tcPr>
            <w:tcW w:w="661" w:type="dxa"/>
            <w:vAlign w:val="center"/>
          </w:tcPr>
          <w:p>
            <w:pPr>
              <w:widowControl/>
              <w:spacing w:line="300" w:lineRule="exact"/>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考查</w:t>
            </w:r>
          </w:p>
        </w:tc>
        <w:tc>
          <w:tcPr>
            <w:tcW w:w="818" w:type="dxa"/>
            <w:vAlign w:val="center"/>
          </w:tcPr>
          <w:p>
            <w:pPr>
              <w:widowControl/>
              <w:spacing w:line="300" w:lineRule="exact"/>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pPr>
              <w:spacing w:line="30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135105mc33</w:t>
            </w:r>
          </w:p>
        </w:tc>
        <w:tc>
          <w:tcPr>
            <w:tcW w:w="2620" w:type="dxa"/>
            <w:vAlign w:val="center"/>
          </w:tcPr>
          <w:p>
            <w:pPr>
              <w:widowControl/>
              <w:spacing w:line="300" w:lineRule="exact"/>
              <w:ind w:left="-36" w:leftChars="-17"/>
              <w:jc w:val="center"/>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毕业作品创作</w:t>
            </w:r>
          </w:p>
          <w:p>
            <w:pPr>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lang w:val="en-US" w:eastAsia="zh-CN"/>
                <w14:textFill>
                  <w14:solidFill>
                    <w14:schemeClr w14:val="tx1"/>
                  </w14:solidFill>
                </w14:textFill>
              </w:rPr>
              <w:t xml:space="preserve">Graduation Work </w:t>
            </w:r>
          </w:p>
        </w:tc>
        <w:tc>
          <w:tcPr>
            <w:tcW w:w="719" w:type="dxa"/>
            <w:vAlign w:val="center"/>
          </w:tcPr>
          <w:p>
            <w:pPr>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120</w:t>
            </w:r>
          </w:p>
        </w:tc>
        <w:tc>
          <w:tcPr>
            <w:tcW w:w="663" w:type="dxa"/>
            <w:vAlign w:val="center"/>
          </w:tcPr>
          <w:p>
            <w:pPr>
              <w:adjustRightInd w:val="0"/>
              <w:snapToGrid w:val="0"/>
              <w:spacing w:line="300" w:lineRule="exact"/>
              <w:jc w:val="center"/>
              <w:rPr>
                <w:rFonts w:ascii="仿宋" w:hAnsi="仿宋" w:eastAsia="仿宋" w:cs="宋体"/>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4</w:t>
            </w:r>
          </w:p>
        </w:tc>
        <w:tc>
          <w:tcPr>
            <w:tcW w:w="637" w:type="dxa"/>
            <w:vAlign w:val="center"/>
          </w:tcPr>
          <w:p>
            <w:pPr>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4-6</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widowControl/>
              <w:spacing w:line="300" w:lineRule="exact"/>
              <w:ind w:left="-36" w:leftChars="-17"/>
              <w:jc w:val="center"/>
              <w:rPr>
                <w:rFonts w:ascii="仿宋" w:hAnsi="仿宋"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考查</w:t>
            </w:r>
          </w:p>
        </w:tc>
        <w:tc>
          <w:tcPr>
            <w:tcW w:w="818"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Merge w:val="continue"/>
            <w:vAlign w:val="center"/>
          </w:tcPr>
          <w:p>
            <w:pPr>
              <w:spacing w:line="300" w:lineRule="exact"/>
              <w:jc w:val="center"/>
              <w:rPr>
                <w:rFonts w:ascii="仿宋" w:hAnsi="仿宋" w:eastAsia="仿宋" w:cs="宋体"/>
                <w:color w:val="000000" w:themeColor="text1"/>
                <w:szCs w:val="21"/>
                <w:highlight w:val="none"/>
                <w14:textFill>
                  <w14:solidFill>
                    <w14:schemeClr w14:val="tx1"/>
                  </w14:solidFill>
                </w14:textFill>
              </w:rPr>
            </w:pPr>
          </w:p>
        </w:tc>
        <w:tc>
          <w:tcPr>
            <w:tcW w:w="1349" w:type="dxa"/>
            <w:vAlign w:val="center"/>
          </w:tcPr>
          <w:p>
            <w:pPr>
              <w:adjustRightInd w:val="0"/>
              <w:snapToGrid w:val="0"/>
              <w:spacing w:line="300" w:lineRule="exact"/>
              <w:jc w:val="center"/>
              <w:rPr>
                <w:rFonts w:hint="eastAsia" w:ascii="仿宋" w:hAnsi="仿宋" w:eastAsia="仿宋" w:cs="宋体"/>
                <w:bCs/>
                <w:color w:val="000000" w:themeColor="text1"/>
                <w:kern w:val="0"/>
                <w:szCs w:val="21"/>
                <w:highlight w:val="none"/>
                <w:lang w:val="en-US" w:eastAsia="zh-CN"/>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135105md01</w:t>
            </w:r>
          </w:p>
        </w:tc>
        <w:tc>
          <w:tcPr>
            <w:tcW w:w="2620" w:type="dxa"/>
            <w:vAlign w:val="center"/>
          </w:tcPr>
          <w:p>
            <w:pPr>
              <w:widowControl/>
              <w:spacing w:line="300" w:lineRule="exact"/>
              <w:jc w:val="center"/>
              <w:rPr>
                <w:rFonts w:hint="eastAsia" w:ascii="仿宋" w:hAnsi="仿宋" w:eastAsia="仿宋" w:cs="宋体"/>
                <w:color w:val="000000" w:themeColor="text1"/>
                <w:kern w:val="0"/>
                <w:szCs w:val="21"/>
                <w:highlight w:val="none"/>
                <w:lang w:val="en-US" w:eastAsia="zh-CN"/>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广播电视实务前沿讲座</w:t>
            </w:r>
            <w:r>
              <w:rPr>
                <w:rFonts w:hint="eastAsia" w:ascii="仿宋" w:hAnsi="仿宋" w:eastAsia="仿宋" w:cs="宋体"/>
                <w:color w:val="000000" w:themeColor="text1"/>
                <w:kern w:val="0"/>
                <w:szCs w:val="21"/>
                <w:highlight w:val="none"/>
                <w:lang w:val="en-US" w:eastAsia="zh-CN"/>
                <w14:textFill>
                  <w14:solidFill>
                    <w14:schemeClr w14:val="tx1"/>
                  </w14:solidFill>
                </w14:textFill>
              </w:rPr>
              <w:t>Lectures on the Practical Frontier of Radio and Television</w:t>
            </w:r>
          </w:p>
          <w:p>
            <w:pPr>
              <w:spacing w:line="300" w:lineRule="exact"/>
              <w:ind w:left="-36" w:leftChars="-17"/>
              <w:jc w:val="center"/>
              <w:rPr>
                <w:rFonts w:ascii="仿宋" w:hAnsi="仿宋" w:eastAsia="仿宋" w:cs="Times New Roman"/>
                <w:color w:val="000000" w:themeColor="text1"/>
                <w:kern w:val="2"/>
                <w:sz w:val="21"/>
                <w:szCs w:val="21"/>
                <w:highlight w:val="none"/>
                <w:lang w:val="en-US" w:eastAsia="zh-CN" w:bidi="ar-SA"/>
                <w14:textFill>
                  <w14:solidFill>
                    <w14:schemeClr w14:val="tx1"/>
                  </w14:solidFill>
                </w14:textFill>
              </w:rPr>
            </w:pPr>
          </w:p>
        </w:tc>
        <w:tc>
          <w:tcPr>
            <w:tcW w:w="719" w:type="dxa"/>
            <w:vAlign w:val="center"/>
          </w:tcPr>
          <w:p>
            <w:pPr>
              <w:adjustRightInd w:val="0"/>
              <w:snapToGrid w:val="0"/>
              <w:spacing w:line="300" w:lineRule="exact"/>
              <w:jc w:val="center"/>
              <w:rPr>
                <w:rFonts w:ascii="仿宋" w:hAnsi="仿宋" w:eastAsia="仿宋" w:cs="Times New Roman"/>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20</w:t>
            </w:r>
          </w:p>
        </w:tc>
        <w:tc>
          <w:tcPr>
            <w:tcW w:w="663" w:type="dxa"/>
            <w:vAlign w:val="center"/>
          </w:tcPr>
          <w:p>
            <w:pPr>
              <w:spacing w:line="300" w:lineRule="exact"/>
              <w:jc w:val="center"/>
              <w:rPr>
                <w:rFonts w:ascii="仿宋" w:hAnsi="仿宋" w:eastAsia="仿宋" w:cs="宋体"/>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w:t>
            </w:r>
          </w:p>
        </w:tc>
        <w:tc>
          <w:tcPr>
            <w:tcW w:w="637" w:type="dxa"/>
            <w:vAlign w:val="center"/>
          </w:tcPr>
          <w:p>
            <w:pPr>
              <w:spacing w:line="300" w:lineRule="exact"/>
              <w:jc w:val="center"/>
              <w:rPr>
                <w:rFonts w:hint="eastAsia" w:ascii="仿宋" w:hAnsi="仿宋" w:eastAsia="仿宋" w:cs="宋体"/>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w:t>
            </w:r>
            <w:r>
              <w:rPr>
                <w:rFonts w:ascii="仿宋" w:hAnsi="仿宋" w:eastAsia="仿宋" w:cs="宋体"/>
                <w:color w:val="000000" w:themeColor="text1"/>
                <w:szCs w:val="21"/>
                <w:highlight w:val="none"/>
                <w14:textFill>
                  <w14:solidFill>
                    <w14:schemeClr w14:val="tx1"/>
                  </w14:solidFill>
                </w14:textFill>
              </w:rPr>
              <w:t>-</w:t>
            </w:r>
            <w:r>
              <w:rPr>
                <w:rFonts w:hint="eastAsia" w:ascii="仿宋" w:hAnsi="仿宋" w:eastAsia="仿宋" w:cs="宋体"/>
                <w:color w:val="000000" w:themeColor="text1"/>
                <w:szCs w:val="21"/>
                <w:highlight w:val="none"/>
                <w:lang w:val="en-US" w:eastAsia="zh-CN"/>
                <w14:textFill>
                  <w14:solidFill>
                    <w14:schemeClr w14:val="tx1"/>
                  </w14:solidFill>
                </w14:textFill>
              </w:rPr>
              <w:t>5</w:t>
            </w:r>
          </w:p>
        </w:tc>
        <w:tc>
          <w:tcPr>
            <w:tcW w:w="646" w:type="dxa"/>
            <w:vAlign w:val="center"/>
          </w:tcPr>
          <w:p>
            <w:pPr>
              <w:widowControl/>
              <w:spacing w:line="300" w:lineRule="exact"/>
              <w:jc w:val="center"/>
              <w:rPr>
                <w:rFonts w:ascii="仿宋" w:hAnsi="仿宋" w:eastAsia="仿宋" w:cstheme="minorEastAsia"/>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heme="minorEastAsia"/>
                <w:color w:val="000000" w:themeColor="text1"/>
                <w:szCs w:val="21"/>
                <w:highlight w:val="none"/>
                <w14:textFill>
                  <w14:solidFill>
                    <w14:schemeClr w14:val="tx1"/>
                  </w14:solidFill>
                </w14:textFill>
              </w:rPr>
              <w:t>本单位</w:t>
            </w:r>
          </w:p>
        </w:tc>
        <w:tc>
          <w:tcPr>
            <w:tcW w:w="661" w:type="dxa"/>
            <w:vAlign w:val="center"/>
          </w:tcPr>
          <w:p>
            <w:pPr>
              <w:spacing w:line="300" w:lineRule="exact"/>
              <w:jc w:val="center"/>
              <w:rPr>
                <w:rFonts w:ascii="仿宋" w:hAnsi="仿宋" w:eastAsia="仿宋" w:cs="宋体"/>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考查</w:t>
            </w:r>
          </w:p>
        </w:tc>
        <w:tc>
          <w:tcPr>
            <w:tcW w:w="818" w:type="dxa"/>
            <w:vAlign w:val="center"/>
          </w:tcPr>
          <w:p>
            <w:pPr>
              <w:spacing w:line="300" w:lineRule="exact"/>
              <w:jc w:val="center"/>
              <w:rPr>
                <w:rFonts w:ascii="仿宋" w:hAnsi="仿宋" w:eastAsia="仿宋" w:cs="宋体"/>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各方向必选</w:t>
            </w:r>
          </w:p>
        </w:tc>
      </w:tr>
    </w:tbl>
    <w:p>
      <w:pPr>
        <w:spacing w:line="440" w:lineRule="exact"/>
        <w:ind w:firstLine="562" w:firstLineChars="200"/>
        <w:rPr>
          <w:rFonts w:ascii="仿宋" w:hAnsi="仿宋" w:eastAsia="仿宋"/>
          <w:b/>
          <w:sz w:val="28"/>
          <w:szCs w:val="28"/>
        </w:rPr>
      </w:pPr>
      <w:r>
        <w:rPr>
          <w:rFonts w:hint="eastAsia" w:ascii="仿宋" w:hAnsi="仿宋" w:eastAsia="仿宋"/>
          <w:b/>
          <w:sz w:val="28"/>
          <w:szCs w:val="28"/>
        </w:rPr>
        <w:t>说明：</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同等学力或跨一级学科考取的硕士生，应在导师指导下，补修3门本学科本科核心课程（具体课程参考本学科本科培养方案），所修课程只登记成绩不计学分。</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课程成绩采用百分制。学位课程成绩70 分或以上为合格，可以获得相应学分；非学位课程成绩 60 分为合格，可以获得相应学分。</w:t>
      </w:r>
    </w:p>
    <w:p>
      <w:pPr>
        <w:spacing w:line="440" w:lineRule="exact"/>
        <w:ind w:firstLine="560"/>
        <w:rPr>
          <w:rFonts w:ascii="仿宋" w:hAnsi="仿宋" w:eastAsia="仿宋" w:cs="宋体"/>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cs="宋体"/>
          <w:sz w:val="28"/>
          <w:szCs w:val="28"/>
        </w:rPr>
        <w:t>硕士生在第1-5学期，应参加不少于15次学科前沿讲座或学院举办的其他学术会议、大型活动等。</w:t>
      </w:r>
    </w:p>
    <w:p>
      <w:pPr>
        <w:spacing w:line="440" w:lineRule="exact"/>
        <w:ind w:firstLine="560" w:firstLineChars="200"/>
        <w:rPr>
          <w:rFonts w:hint="eastAsia" w:ascii="仿宋" w:hAnsi="仿宋" w:eastAsia="仿宋"/>
          <w:sz w:val="28"/>
          <w:szCs w:val="28"/>
        </w:rPr>
      </w:pP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六、培养计划</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专业学位研究生的个人培养计划由导师主持制订。学生进校后，导师与学生应就培养中的各项问题充分交换意见，在此基础上制订出符合要求、切实可行的培养计划。硕士生培养计划须于学生进校后3个月内制订完成，并导入研究生教育综合管理系统中，经导师确认后签字，由学院批准备案。个人培养计划一经制订，在培养过程中必须严格按计划执行。</w:t>
      </w:r>
    </w:p>
    <w:p>
      <w:pPr>
        <w:spacing w:line="440" w:lineRule="exact"/>
        <w:ind w:firstLine="560" w:firstLineChars="200"/>
        <w:rPr>
          <w:rFonts w:ascii="仿宋" w:hAnsi="仿宋" w:eastAsia="仿宋"/>
          <w:sz w:val="28"/>
          <w:szCs w:val="28"/>
        </w:rPr>
      </w:pPr>
    </w:p>
    <w:p>
      <w:pPr>
        <w:spacing w:line="440" w:lineRule="exact"/>
        <w:ind w:firstLine="562" w:firstLineChars="200"/>
        <w:rPr>
          <w:rFonts w:ascii="仿宋" w:hAnsi="仿宋" w:eastAsia="仿宋"/>
          <w:sz w:val="28"/>
          <w:szCs w:val="28"/>
        </w:rPr>
      </w:pPr>
      <w:r>
        <w:rPr>
          <w:rFonts w:hint="eastAsia" w:ascii="仿宋" w:hAnsi="仿宋" w:eastAsia="仿宋"/>
          <w:b/>
          <w:sz w:val="28"/>
          <w:szCs w:val="28"/>
        </w:rPr>
        <w:t>七、开题报告</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专业学位硕士生入学后，应在导师指导下拟定研究方向和论文题目，最迟于第三学期完成学位论文开题报告。开题报告具体要求按暨南大学有关规定执行。</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开题报告应就选题依据、国内外发展动态、研究内容、预期目标、研究方案等做出论证，写出书面报告，并在学位点内进行公开报告，听取专家意见并进行必要的修改和调整。</w:t>
      </w:r>
    </w:p>
    <w:p>
      <w:pPr>
        <w:spacing w:line="440" w:lineRule="exact"/>
        <w:ind w:firstLine="560" w:firstLineChars="200"/>
        <w:rPr>
          <w:rFonts w:ascii="仿宋" w:hAnsi="仿宋" w:eastAsia="仿宋"/>
          <w:b/>
          <w:sz w:val="28"/>
          <w:szCs w:val="28"/>
        </w:rPr>
      </w:pPr>
      <w:r>
        <w:rPr>
          <w:rFonts w:hint="eastAsia" w:ascii="仿宋" w:hAnsi="仿宋" w:eastAsia="仿宋"/>
          <w:sz w:val="28"/>
          <w:szCs w:val="28"/>
        </w:rPr>
        <w:t>经评审通过的开题报告应上传至研究生教育综合管理系统，并以书面形式提交学院研究生培养管理部门备案。开题未能通过的应在至少3个月后重新申请开题且导师必须回避。开题报告通过者如因特殊情况须变更学位论文课题研究者，应重新进行开题报告。</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八、专业实践</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专业实践为必修环节，计4学分。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应届本科毕业生及未在广播电视及新媒体行业工作满一年以上的非应届本科毕业生攻读本专业学位期间，必须保证参加不少于3个月的实践教学；已在新闻与传播各行业工作满一年以上的非应届本科毕业生攻读本专业学位期间，不必安排专门的专业实习，但应按专业实习的要求提交相关作品及其心得报告。</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专业实习具体要求按照暨南大学相关实践管理规定执行。经考核合格后取得相应学分。</w:t>
      </w:r>
    </w:p>
    <w:p>
      <w:pPr>
        <w:spacing w:line="440" w:lineRule="exact"/>
        <w:ind w:firstLine="551" w:firstLineChars="196"/>
        <w:rPr>
          <w:rFonts w:ascii="仿宋" w:hAnsi="仿宋" w:eastAsia="仿宋"/>
          <w:b/>
          <w:sz w:val="28"/>
          <w:szCs w:val="28"/>
        </w:rPr>
      </w:pPr>
      <w:r>
        <w:rPr>
          <w:rFonts w:hint="eastAsia" w:ascii="仿宋" w:hAnsi="仿宋" w:eastAsia="仿宋"/>
          <w:b/>
          <w:sz w:val="28"/>
          <w:szCs w:val="28"/>
        </w:rPr>
        <w:t>九、中期考核</w:t>
      </w:r>
    </w:p>
    <w:p>
      <w:pPr>
        <w:spacing w:line="440" w:lineRule="exact"/>
        <w:ind w:firstLine="560" w:firstLineChars="200"/>
        <w:rPr>
          <w:rFonts w:ascii="仿宋" w:hAnsi="仿宋" w:eastAsia="仿宋"/>
          <w:sz w:val="28"/>
          <w:szCs w:val="28"/>
        </w:rPr>
      </w:pPr>
      <w:bookmarkStart w:id="0" w:name="OLE_LINK3"/>
      <w:r>
        <w:rPr>
          <w:rFonts w:hint="eastAsia" w:ascii="仿宋" w:hAnsi="仿宋" w:eastAsia="仿宋"/>
          <w:sz w:val="28"/>
          <w:szCs w:val="28"/>
        </w:rPr>
        <w:t>硕士生通过开题报告后，在预答辩之前要进行中期考核</w:t>
      </w:r>
      <w:r>
        <w:rPr>
          <w:rFonts w:hint="eastAsia" w:ascii="仿宋" w:hAnsi="仿宋" w:eastAsia="仿宋"/>
          <w:sz w:val="28"/>
          <w:szCs w:val="28"/>
          <w:lang w:val="en-US" w:eastAsia="zh-CN"/>
        </w:rPr>
        <w:t>,</w:t>
      </w:r>
      <w:r>
        <w:rPr>
          <w:rFonts w:hint="eastAsia" w:ascii="仿宋" w:hAnsi="仿宋" w:eastAsia="仿宋"/>
          <w:sz w:val="28"/>
          <w:szCs w:val="28"/>
        </w:rPr>
        <w:t>结合对研究方法、专业课程、必读书目内容和论文撰写情况进行笔试和面试，最迟于第</w:t>
      </w:r>
      <w:r>
        <w:rPr>
          <w:rFonts w:hint="eastAsia" w:ascii="仿宋" w:hAnsi="仿宋" w:eastAsia="仿宋"/>
          <w:sz w:val="28"/>
          <w:szCs w:val="28"/>
          <w:lang w:eastAsia="zh-CN"/>
        </w:rPr>
        <w:t>四</w:t>
      </w:r>
      <w:r>
        <w:rPr>
          <w:rFonts w:hint="eastAsia" w:ascii="仿宋" w:hAnsi="仿宋" w:eastAsia="仿宋"/>
          <w:sz w:val="28"/>
          <w:szCs w:val="28"/>
        </w:rPr>
        <w:t>学期完成</w:t>
      </w:r>
      <w:r>
        <w:rPr>
          <w:rFonts w:hint="eastAsia" w:ascii="仿宋" w:hAnsi="仿宋" w:eastAsia="仿宋"/>
          <w:sz w:val="28"/>
          <w:szCs w:val="28"/>
          <w:lang w:eastAsia="zh-CN"/>
        </w:rPr>
        <w:t>中期考核</w:t>
      </w:r>
      <w:r>
        <w:rPr>
          <w:rFonts w:hint="eastAsia" w:ascii="仿宋" w:hAnsi="仿宋" w:eastAsia="仿宋"/>
          <w:sz w:val="28"/>
          <w:szCs w:val="28"/>
        </w:rPr>
        <w:t>。具体要求按暨南大学有关规定执行。</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中期考核旨在对照培养方案的要求，从德智体美劳各方面对研究生的学业进展情况进行全面检查，并对其后续学业安排提出意见、建议和要求。本学科中期考核每学年安排两次，分别在每年的5月和11月进行，学生可自由选择参加。硕士研究生二次考核仍为不合格者一般给予退学处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中期考核的形式包括笔试和面试，各100分。考试内容为专业笔试、思想政治素质考核及学位论文写作情况汇报等，其中专业笔试主要考察对培养方案规定的研究方法、必读书目阅读情况和专业课程知识综合掌握情况，面试主要由硕士生进行学位论文撰写的阶段报告。笔试与面试成绩的平均分达到75分以上（含75分）为合格。考核等级为“合格”及以上的研究生，方可参加论文预答辩，以及进入毕业、学位申请环节。</w:t>
      </w:r>
      <w:bookmarkEnd w:id="0"/>
    </w:p>
    <w:p>
      <w:pPr>
        <w:spacing w:line="440" w:lineRule="exact"/>
        <w:ind w:firstLine="562" w:firstLineChars="200"/>
        <w:rPr>
          <w:rFonts w:ascii="仿宋" w:hAnsi="仿宋" w:eastAsia="仿宋"/>
          <w:sz w:val="28"/>
          <w:szCs w:val="28"/>
        </w:rPr>
      </w:pPr>
      <w:r>
        <w:rPr>
          <w:rFonts w:hint="eastAsia" w:ascii="仿宋" w:hAnsi="仿宋" w:eastAsia="仿宋"/>
          <w:b/>
          <w:sz w:val="28"/>
          <w:szCs w:val="28"/>
        </w:rPr>
        <w:t>十、学位（毕业）论文</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（一）关于艺术硕士（广播电视）专业学位（毕业）论文考核形式的说明</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1、毕业作品</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本专业方向研究生毕业时须提交毕业作品，由校内外专家组对作品进行评审后确认其成绩。</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视听艺术与创作实践方向要求制作的纪录片、微电影、深度新闻调查等作品，内容完整，叙事流畅，制作较为精美，片长不少于25分钟。毕业作品的第一完成人为导演或编导。论文篇幅不少于25000字。</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播音与主持艺术方向要求独立策划、制作、主持完成一个播音主持作品，包括自我设计文案，选择采访对象，组织现场驾驭与演播，可选择新闻、谈话、社教、综艺等节目类型。要求作品必须为原创，观点正确、结构完整、内容充实、画面丰富，音响清晰，特色鲜明，并具备学术性和创新性。语言表达部分应为作品的主干或主线（不包括同期声及其它参与节目人员的有声语言）。体现出主持人较强的节目驾驭力和语言传播力。提交作品可选择视频或音频，视频作品要求25分钟以上的完整节目，音频作品为5期以上系列作品（每期时长10-20分钟），允许为电视台、网络公开播映的署名作品。答辩时提交创作相关文字稿件。论文篇幅不少于25000字。</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文化遗产与创意传播方向要求制作以文化遗产传承传播为主题的纪录片、微电影、深度新闻调查等作品，内容完整，叙事流畅，制作较为精美，片长不少于25分钟。毕业作品的第一完成人为导演或编导。论文篇幅不少于25000字。</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2、学位论文</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学位论文须与毕业作品紧密相联，是学生对毕业作品所进行的创作思考和理论阐释。创作思考主要从选题策划、作品结构、叙事风格和视听语言表达等方面展开，理论阐述要求紧密围绕上述内容进行理论分析，二者不可脱离，并应体现一定的学术价值和创新之处，对于作品创作存在的不足和经验也应有所系统的梳理。论文附录包括分镜头脚本、现场拍摄图片等。论文篇幅不少于25000字。</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（二）学位（毕业）论文预答辩与答辩要求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硕士生在正式论文答辩之前必须通过预答辩环节。学位（毕业）论文的预答辩、答辩等工作按《暨南大学学位授予工作实施细则》及本学位点相关规定执行。</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（三）学位授予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艺术硕士专业学位申请者，在修学规定课程和获得规定学分的同时，须完成包括专业实践能力展示和专业学位论文答辩两部分组成的毕业考核。专业实践能力展示体现申请人的专业技能水平，专业学位论文答辩体现申请人对应用专业技能所表现出的综合素质和理论阐述能力。两部分共同作为艺术硕士专业学位申请人专业水平的评价依据，均须达到合格标准，缺一不可。毕业考核总成绩计算方法为：专业实践能力展示占70%、专业学位论文答辩占30%。</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修满规定学分并毕业考核合格者，经授予单位学位评定委员会审核批准，授予艺术硕士专业学位，颁发艺术硕士学位证书和毕业证书。</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（四）毕业考核委员会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由相关领域具有高级职称的专家组成毕业考核委员会，考核专业能力展示和学位论文答辩是否达到合格水平。毕业考核委员会一般由3-5人组成。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毕业考核总成绩按百分制评分，评价结论分为优秀、良好、合格、不合格四种。优秀：≥90；良好：89-75；合格：74-60；不合格：≤59。</w:t>
      </w:r>
    </w:p>
    <w:p>
      <w:pPr>
        <w:spacing w:line="440" w:lineRule="exact"/>
        <w:ind w:firstLine="551" w:firstLineChars="196"/>
        <w:rPr>
          <w:rFonts w:ascii="仿宋" w:hAnsi="仿宋" w:eastAsia="仿宋"/>
          <w:b/>
          <w:sz w:val="28"/>
          <w:szCs w:val="28"/>
        </w:rPr>
      </w:pPr>
      <w:r>
        <w:rPr>
          <w:rFonts w:hint="eastAsia" w:ascii="仿宋" w:hAnsi="仿宋" w:eastAsia="仿宋"/>
          <w:b/>
          <w:sz w:val="28"/>
          <w:szCs w:val="28"/>
        </w:rPr>
        <w:t xml:space="preserve">十一、在学期间科研成果要求  </w:t>
      </w:r>
    </w:p>
    <w:p>
      <w:pPr>
        <w:spacing w:line="440" w:lineRule="exact"/>
        <w:ind w:firstLine="548" w:firstLineChars="196"/>
        <w:rPr>
          <w:rFonts w:ascii="仿宋" w:hAnsi="仿宋" w:eastAsia="仿宋"/>
          <w:b/>
          <w:sz w:val="28"/>
          <w:szCs w:val="28"/>
        </w:rPr>
      </w:pPr>
      <w:r>
        <w:rPr>
          <w:rFonts w:hint="eastAsia" w:ascii="仿宋" w:hAnsi="仿宋" w:eastAsia="仿宋"/>
          <w:sz w:val="28"/>
          <w:szCs w:val="28"/>
        </w:rPr>
        <w:t>按照艺术硕士专业学位类别教育指导委员会有关规定执行。</w:t>
      </w:r>
      <w:r>
        <w:rPr>
          <w:rFonts w:hint="eastAsia" w:ascii="仿宋" w:hAnsi="仿宋" w:eastAsia="仿宋"/>
          <w:b/>
          <w:sz w:val="28"/>
          <w:szCs w:val="28"/>
        </w:rPr>
        <w:t xml:space="preserve">  </w:t>
      </w:r>
    </w:p>
    <w:p>
      <w:pPr>
        <w:spacing w:line="440" w:lineRule="exact"/>
        <w:ind w:firstLine="551" w:firstLineChars="196"/>
        <w:rPr>
          <w:rFonts w:ascii="仿宋" w:hAnsi="仿宋" w:eastAsia="仿宋"/>
          <w:b/>
          <w:sz w:val="28"/>
          <w:szCs w:val="28"/>
        </w:rPr>
      </w:pPr>
      <w:r>
        <w:rPr>
          <w:rFonts w:hint="eastAsia" w:ascii="仿宋" w:hAnsi="仿宋" w:eastAsia="仿宋"/>
          <w:b/>
          <w:sz w:val="28"/>
          <w:szCs w:val="28"/>
        </w:rPr>
        <w:t>十二、毕业与授予学位标准</w:t>
      </w:r>
    </w:p>
    <w:p>
      <w:pPr>
        <w:spacing w:line="440" w:lineRule="exact"/>
        <w:ind w:firstLine="200"/>
        <w:rPr>
          <w:rFonts w:ascii="仿宋" w:hAnsi="仿宋" w:eastAsia="仿宋"/>
          <w:sz w:val="28"/>
          <w:szCs w:val="28"/>
        </w:rPr>
      </w:pPr>
      <w:r>
        <w:rPr>
          <w:rFonts w:hint="eastAsia" w:ascii="仿宋" w:hAnsi="仿宋" w:eastAsia="仿宋"/>
          <w:sz w:val="28"/>
          <w:szCs w:val="28"/>
        </w:rPr>
        <w:t>毕业和授予学位授予标准按照学校有关规定进行。</w:t>
      </w:r>
    </w:p>
    <w:p>
      <w:pPr>
        <w:spacing w:line="440" w:lineRule="exact"/>
        <w:ind w:firstLine="551" w:firstLineChars="196"/>
        <w:rPr>
          <w:rFonts w:ascii="仿宋" w:hAnsi="仿宋" w:eastAsia="仿宋"/>
          <w:b/>
          <w:sz w:val="28"/>
          <w:szCs w:val="28"/>
        </w:rPr>
      </w:pPr>
      <w:r>
        <w:rPr>
          <w:rFonts w:hint="eastAsia" w:ascii="仿宋" w:hAnsi="仿宋" w:eastAsia="仿宋"/>
          <w:b/>
          <w:sz w:val="28"/>
          <w:szCs w:val="28"/>
        </w:rPr>
        <w:t>十三、</w:t>
      </w:r>
      <w:r>
        <w:rPr>
          <w:rFonts w:ascii="仿宋" w:hAnsi="仿宋" w:eastAsia="仿宋"/>
          <w:b/>
          <w:sz w:val="28"/>
          <w:szCs w:val="28"/>
        </w:rPr>
        <w:t>必读书目</w:t>
      </w:r>
    </w:p>
    <w:tbl>
      <w:tblPr>
        <w:tblStyle w:val="7"/>
        <w:tblW w:w="9700" w:type="dxa"/>
        <w:jc w:val="center"/>
        <w:tblLayout w:type="fixed"/>
        <w:tblCellMar>
          <w:top w:w="0" w:type="dxa"/>
          <w:left w:w="108" w:type="dxa"/>
          <w:bottom w:w="0" w:type="dxa"/>
          <w:right w:w="108" w:type="dxa"/>
        </w:tblCellMar>
      </w:tblPr>
      <w:tblGrid>
        <w:gridCol w:w="714"/>
        <w:gridCol w:w="2251"/>
        <w:gridCol w:w="3261"/>
        <w:gridCol w:w="2126"/>
        <w:gridCol w:w="1348"/>
      </w:tblGrid>
      <w:tr>
        <w:tblPrEx>
          <w:tblCellMar>
            <w:top w:w="0" w:type="dxa"/>
            <w:left w:w="108" w:type="dxa"/>
            <w:bottom w:w="0" w:type="dxa"/>
            <w:right w:w="108" w:type="dxa"/>
          </w:tblCellMar>
        </w:tblPrEx>
        <w:trPr>
          <w:trHeight w:val="4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b/>
                <w:bCs/>
                <w:kern w:val="0"/>
                <w:sz w:val="20"/>
                <w:szCs w:val="20"/>
              </w:rPr>
            </w:pPr>
            <w:bookmarkStart w:id="1" w:name="OLE_LINK2"/>
            <w:r>
              <w:rPr>
                <w:rFonts w:hint="eastAsia" w:ascii="仿宋" w:hAnsi="仿宋" w:eastAsia="仿宋" w:cs="宋体"/>
                <w:b/>
                <w:bCs/>
                <w:kern w:val="0"/>
                <w:sz w:val="20"/>
                <w:szCs w:val="20"/>
              </w:rPr>
              <w:t>序号</w:t>
            </w:r>
          </w:p>
        </w:tc>
        <w:tc>
          <w:tcPr>
            <w:tcW w:w="225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书名</w:t>
            </w:r>
          </w:p>
        </w:tc>
        <w:tc>
          <w:tcPr>
            <w:tcW w:w="326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作者</w:t>
            </w:r>
          </w:p>
        </w:tc>
        <w:tc>
          <w:tcPr>
            <w:tcW w:w="212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出版社</w:t>
            </w:r>
          </w:p>
        </w:tc>
        <w:tc>
          <w:tcPr>
            <w:tcW w:w="134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出版日期</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kern w:val="0"/>
                <w:sz w:val="20"/>
                <w:szCs w:val="20"/>
              </w:rPr>
            </w:pPr>
            <w:r>
              <w:rPr>
                <w:rFonts w:hint="eastAsia" w:ascii="Calibri" w:hAnsi="Calibri" w:eastAsia="仿宋" w:cs="宋体"/>
                <w:kern w:val="0"/>
                <w:sz w:val="20"/>
                <w:szCs w:val="20"/>
              </w:rPr>
              <w:t>1</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电影艺术：形式与风格</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（美）大卫·波德维尔</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世界图书出版公司</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2008</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kern w:val="0"/>
                <w:sz w:val="20"/>
                <w:szCs w:val="20"/>
              </w:rPr>
            </w:pPr>
            <w:r>
              <w:rPr>
                <w:rFonts w:hint="eastAsia" w:ascii="Calibri" w:hAnsi="Calibri" w:eastAsia="仿宋" w:cs="宋体"/>
                <w:kern w:val="0"/>
                <w:sz w:val="20"/>
                <w:szCs w:val="20"/>
              </w:rPr>
              <w:t>2</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表征——文化意象与意指实践</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(英）斯图尔特·霍尔</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商务印书馆</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2003</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Steve</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Jobs</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Walter</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Isaacson</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New</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York</w:t>
            </w:r>
            <w:r>
              <w:rPr>
                <w:rFonts w:hint="eastAsia" w:ascii="仿宋" w:hAnsi="仿宋" w:eastAsia="仿宋" w:cs="宋体"/>
                <w:kern w:val="0"/>
                <w:sz w:val="20"/>
                <w:szCs w:val="20"/>
              </w:rPr>
              <w:t xml:space="preserve"> : </w:t>
            </w:r>
            <w:r>
              <w:rPr>
                <w:rFonts w:hint="eastAsia" w:ascii="Calibri" w:hAnsi="Calibri" w:eastAsia="仿宋" w:cs="宋体"/>
                <w:kern w:val="0"/>
                <w:sz w:val="20"/>
                <w:szCs w:val="20"/>
              </w:rPr>
              <w:t>Simon</w:t>
            </w:r>
            <w:r>
              <w:rPr>
                <w:rFonts w:hint="eastAsia" w:ascii="仿宋" w:hAnsi="仿宋" w:eastAsia="仿宋" w:cs="宋体"/>
                <w:kern w:val="0"/>
                <w:sz w:val="20"/>
                <w:szCs w:val="20"/>
              </w:rPr>
              <w:t xml:space="preserve"> &amp; </w:t>
            </w:r>
            <w:r>
              <w:rPr>
                <w:rFonts w:hint="eastAsia" w:ascii="Calibri" w:hAnsi="Calibri" w:eastAsia="仿宋" w:cs="宋体"/>
                <w:kern w:val="0"/>
                <w:sz w:val="20"/>
                <w:szCs w:val="20"/>
              </w:rPr>
              <w:t>Schuster</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2011</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Video</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Production</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Disciplines</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and</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Techniques</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Jim</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Foust</w:t>
            </w:r>
            <w:r>
              <w:rPr>
                <w:rFonts w:hint="eastAsia" w:ascii="仿宋" w:hAnsi="仿宋" w:eastAsia="仿宋" w:cs="宋体"/>
                <w:kern w:val="0"/>
                <w:sz w:val="20"/>
                <w:szCs w:val="20"/>
              </w:rPr>
              <w:t>,</w:t>
            </w:r>
            <w:r>
              <w:rPr>
                <w:rFonts w:hint="eastAsia" w:ascii="宋体" w:hAnsi="宋体" w:eastAsia="宋体" w:cs="宋体"/>
                <w:kern w:val="0"/>
                <w:sz w:val="20"/>
                <w:szCs w:val="20"/>
              </w:rPr>
              <w:t> </w:t>
            </w:r>
            <w:r>
              <w:rPr>
                <w:rFonts w:hint="eastAsia" w:ascii="Calibri" w:hAnsi="Calibri" w:eastAsia="仿宋" w:cs="仿宋"/>
                <w:kern w:val="0"/>
                <w:sz w:val="20"/>
                <w:szCs w:val="20"/>
              </w:rPr>
              <w:t>Edward</w:t>
            </w:r>
            <w:r>
              <w:rPr>
                <w:rFonts w:hint="eastAsia" w:ascii="仿宋" w:hAnsi="仿宋" w:eastAsia="仿宋" w:cs="仿宋"/>
                <w:kern w:val="0"/>
                <w:sz w:val="20"/>
                <w:szCs w:val="20"/>
              </w:rPr>
              <w:t xml:space="preserve"> </w:t>
            </w:r>
            <w:r>
              <w:rPr>
                <w:rFonts w:hint="eastAsia" w:ascii="Calibri" w:hAnsi="Calibri" w:eastAsia="仿宋" w:cs="仿宋"/>
                <w:kern w:val="0"/>
                <w:sz w:val="20"/>
                <w:szCs w:val="20"/>
              </w:rPr>
              <w:t>J</w:t>
            </w:r>
            <w:r>
              <w:rPr>
                <w:rFonts w:hint="eastAsia" w:ascii="仿宋" w:hAnsi="仿宋" w:eastAsia="仿宋" w:cs="仿宋"/>
                <w:kern w:val="0"/>
                <w:sz w:val="20"/>
                <w:szCs w:val="20"/>
              </w:rPr>
              <w:t xml:space="preserve">. </w:t>
            </w:r>
            <w:r>
              <w:rPr>
                <w:rFonts w:hint="eastAsia" w:ascii="Calibri" w:hAnsi="Calibri" w:eastAsia="仿宋" w:cs="仿宋"/>
                <w:kern w:val="0"/>
                <w:sz w:val="20"/>
                <w:szCs w:val="20"/>
              </w:rPr>
              <w:t>Fink</w:t>
            </w:r>
            <w:r>
              <w:rPr>
                <w:rFonts w:hint="eastAsia" w:ascii="仿宋" w:hAnsi="仿宋" w:eastAsia="仿宋" w:cs="仿宋"/>
                <w:kern w:val="0"/>
                <w:sz w:val="20"/>
                <w:szCs w:val="20"/>
              </w:rPr>
              <w:t>,</w:t>
            </w:r>
            <w:r>
              <w:rPr>
                <w:rFonts w:hint="eastAsia" w:ascii="宋体" w:hAnsi="宋体" w:eastAsia="宋体" w:cs="宋体"/>
                <w:kern w:val="0"/>
                <w:sz w:val="20"/>
                <w:szCs w:val="20"/>
              </w:rPr>
              <w:t> </w:t>
            </w:r>
            <w:r>
              <w:rPr>
                <w:rFonts w:hint="eastAsia" w:ascii="Calibri" w:hAnsi="Calibri" w:eastAsia="仿宋" w:cs="仿宋"/>
                <w:kern w:val="0"/>
                <w:sz w:val="20"/>
                <w:szCs w:val="20"/>
              </w:rPr>
              <w:t>Lynne</w:t>
            </w:r>
            <w:r>
              <w:rPr>
                <w:rFonts w:hint="eastAsia" w:ascii="仿宋" w:hAnsi="仿宋" w:eastAsia="仿宋" w:cs="仿宋"/>
                <w:kern w:val="0"/>
                <w:sz w:val="20"/>
                <w:szCs w:val="20"/>
              </w:rPr>
              <w:t xml:space="preserve"> </w:t>
            </w:r>
            <w:r>
              <w:rPr>
                <w:rFonts w:hint="eastAsia" w:ascii="Calibri" w:hAnsi="Calibri" w:eastAsia="仿宋" w:cs="仿宋"/>
                <w:kern w:val="0"/>
                <w:sz w:val="20"/>
                <w:szCs w:val="20"/>
              </w:rPr>
              <w:t>Gross</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Routledge</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2017</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5</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文化理论与大众文化导论（第七版）</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（英）约翰·斯道雷</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北京大学出版社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2019</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6</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超越套路的剧作法</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（美）肯·丹西格、杰夫·拉什</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后浪</w:t>
            </w:r>
            <w:r>
              <w:rPr>
                <w:rFonts w:hint="eastAsia" w:ascii="宋体" w:hAnsi="宋体" w:eastAsia="宋体" w:cs="宋体"/>
                <w:kern w:val="0"/>
                <w:sz w:val="20"/>
                <w:szCs w:val="20"/>
              </w:rPr>
              <w:t>•</w:t>
            </w:r>
            <w:r>
              <w:rPr>
                <w:rFonts w:hint="eastAsia" w:ascii="仿宋" w:hAnsi="仿宋" w:eastAsia="仿宋" w:cs="宋体"/>
                <w:kern w:val="0"/>
                <w:sz w:val="20"/>
                <w:szCs w:val="20"/>
              </w:rPr>
              <w:t>世界图书出版公司</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2013</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7</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编剧的艺术</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（美）拉约什·埃格里</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北京联合出版公司</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2013</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8</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纪录片导论（第</w:t>
            </w:r>
            <w:r>
              <w:rPr>
                <w:rFonts w:hint="eastAsia" w:ascii="Calibri" w:hAnsi="Calibri" w:eastAsia="仿宋" w:cs="宋体"/>
                <w:kern w:val="0"/>
                <w:sz w:val="20"/>
                <w:szCs w:val="20"/>
              </w:rPr>
              <w:t>2</w:t>
            </w:r>
            <w:r>
              <w:rPr>
                <w:rFonts w:hint="eastAsia" w:ascii="仿宋" w:hAnsi="仿宋" w:eastAsia="仿宋" w:cs="宋体"/>
                <w:kern w:val="0"/>
                <w:sz w:val="20"/>
                <w:szCs w:val="20"/>
              </w:rPr>
              <w:t>版）</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（美）比尔.尼科尔斯</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2016</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9</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认识电影（第</w:t>
            </w:r>
            <w:r>
              <w:rPr>
                <w:rFonts w:hint="eastAsia" w:ascii="Calibri" w:hAnsi="Calibri" w:eastAsia="仿宋" w:cs="宋体"/>
                <w:kern w:val="0"/>
                <w:sz w:val="20"/>
                <w:szCs w:val="20"/>
              </w:rPr>
              <w:t>12</w:t>
            </w:r>
            <w:r>
              <w:rPr>
                <w:rFonts w:hint="eastAsia" w:ascii="仿宋" w:hAnsi="仿宋" w:eastAsia="仿宋" w:cs="宋体"/>
                <w:kern w:val="0"/>
                <w:sz w:val="20"/>
                <w:szCs w:val="20"/>
              </w:rPr>
              <w:t>版）</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（美）路易斯·贾内梯，焦雄屏译</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后浪·北京联合出版公司</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2016</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10</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电影镜头设计——从构思到银幕（第</w:t>
            </w:r>
            <w:r>
              <w:rPr>
                <w:rFonts w:hint="eastAsia" w:ascii="Calibri" w:hAnsi="Calibri" w:eastAsia="仿宋" w:cs="宋体"/>
                <w:kern w:val="0"/>
                <w:sz w:val="20"/>
                <w:szCs w:val="20"/>
              </w:rPr>
              <w:t>2</w:t>
            </w:r>
            <w:r>
              <w:rPr>
                <w:rFonts w:hint="eastAsia" w:ascii="仿宋" w:hAnsi="仿宋" w:eastAsia="仿宋" w:cs="宋体"/>
                <w:kern w:val="0"/>
                <w:sz w:val="20"/>
                <w:szCs w:val="20"/>
              </w:rPr>
              <w:t>版）</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（美）史蒂文·卡茨， 井迎兆、王旭锋译</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后浪·北京联合出版公司</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2015</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11</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纪录片也要讲故事</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（美）希拉·柯伦·伯纳德</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北京联合出版公司</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2015</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12</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故事 : 材质、结构、风格和银幕剧作的原理</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（美）罗伯特.麦基</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2001</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13</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新媒介：关键概念</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（英）尼古拉斯·盖恩、戴维·比尔，刘君、周竞男译</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复旦大学出版社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2015</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14</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电影表意范论</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（法）克里斯蒂安.麦茨</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商务印书馆</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2018</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15</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电影是什么</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巴赞</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1</w:t>
            </w:r>
            <w:r>
              <w:rPr>
                <w:rFonts w:ascii="Calibri" w:hAnsi="Calibri" w:eastAsia="仿宋" w:cs="宋体"/>
                <w:kern w:val="0"/>
                <w:sz w:val="20"/>
                <w:szCs w:val="20"/>
              </w:rPr>
              <w:t>987</w:t>
            </w:r>
            <w:r>
              <w:rPr>
                <w:rFonts w:hint="eastAsia" w:ascii="Calibri" w:hAnsi="Calibri"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16</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中国电视文艺发展史</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仲呈祥</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2014</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17</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中国广播文艺学</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张凤铸</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北京广播学院出版社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2005</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18</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中国电视艺术发展史</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钟艺兵</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浙江人民出版社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1994</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19</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电视采访（第</w:t>
            </w:r>
            <w:r>
              <w:rPr>
                <w:rFonts w:hint="eastAsia" w:ascii="Calibri" w:hAnsi="Calibri" w:eastAsia="仿宋" w:cs="宋体"/>
                <w:kern w:val="0"/>
                <w:sz w:val="20"/>
                <w:szCs w:val="20"/>
              </w:rPr>
              <w:t>2</w:t>
            </w:r>
            <w:r>
              <w:rPr>
                <w:rFonts w:hint="eastAsia" w:ascii="仿宋" w:hAnsi="仿宋" w:eastAsia="仿宋" w:cs="宋体"/>
                <w:kern w:val="0"/>
                <w:sz w:val="20"/>
                <w:szCs w:val="20"/>
              </w:rPr>
              <w:t>版）</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曾祥敏</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中国传媒大学出版社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2010</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20</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视听：幻觉的构建</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希翁</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北京联合出版社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2014</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21</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电影理论与批评</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戴锦华</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北京大学出版社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007</w:t>
            </w:r>
            <w:r>
              <w:rPr>
                <w:rFonts w:hint="eastAsia" w:ascii="Calibri" w:hAnsi="Calibri"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22</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电影理论读本</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杨远婴</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世界图书出版公司</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012</w:t>
            </w:r>
            <w:r>
              <w:rPr>
                <w:rFonts w:hint="eastAsia" w:ascii="Calibri" w:hAnsi="Calibri"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23</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外国电影理论文选</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李恒基，杨远婴</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color w:val="000000"/>
                <w:kern w:val="0"/>
              </w:rPr>
              <w:t>生活·读书·新知三联书店</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006</w:t>
            </w:r>
            <w:r>
              <w:rPr>
                <w:rFonts w:hint="eastAsia" w:ascii="Calibri" w:hAnsi="Calibri"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24</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中国电影理论文选（上下）</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罗艺军</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003</w:t>
            </w:r>
            <w:r>
              <w:rPr>
                <w:rFonts w:hint="eastAsia" w:ascii="Calibri" w:hAnsi="Calibri"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25</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雾中风景</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戴锦华</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北京大学出版社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000</w:t>
            </w:r>
            <w:r>
              <w:rPr>
                <w:rFonts w:hint="eastAsia" w:ascii="Calibri" w:hAnsi="Calibri"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26</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法国电影新浪潮（修订本）</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焦雄屏</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商务印书馆</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019</w:t>
            </w:r>
            <w:r>
              <w:rPr>
                <w:rFonts w:hint="eastAsia" w:ascii="Calibri" w:hAnsi="Calibri"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27</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中国电影文化史</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李道新</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北京大学出版社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005</w:t>
            </w:r>
            <w:r>
              <w:rPr>
                <w:rFonts w:hint="eastAsia" w:ascii="Calibri" w:hAnsi="Calibri"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28</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中国电影通史</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丁亚平</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016</w:t>
            </w:r>
            <w:r>
              <w:rPr>
                <w:rFonts w:hint="eastAsia" w:ascii="Calibri" w:hAnsi="Calibri"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宋体"/>
                <w:kern w:val="0"/>
                <w:sz w:val="20"/>
                <w:szCs w:val="20"/>
                <w:lang w:val="en-US" w:eastAsia="zh-CN"/>
              </w:rPr>
            </w:pPr>
            <w:r>
              <w:rPr>
                <w:rFonts w:hint="eastAsia" w:ascii="Calibri" w:hAnsi="Calibri" w:eastAsia="仿宋" w:cs="宋体"/>
                <w:kern w:val="0"/>
                <w:sz w:val="20"/>
                <w:szCs w:val="20"/>
              </w:rPr>
              <w:t>2</w:t>
            </w:r>
            <w:r>
              <w:rPr>
                <w:rFonts w:hint="eastAsia" w:ascii="Calibri" w:hAnsi="Calibri" w:eastAsia="仿宋" w:cs="宋体"/>
                <w:kern w:val="0"/>
                <w:sz w:val="20"/>
                <w:szCs w:val="20"/>
                <w:lang w:val="en-US" w:eastAsia="zh-CN"/>
              </w:rPr>
              <w:t>9</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世界电影理论思潮</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游飞、蔡卫</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中国广播电视出版社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2002</w:t>
            </w:r>
            <w:r>
              <w:rPr>
                <w:rFonts w:hint="eastAsia" w:ascii="仿宋" w:hAnsi="仿宋" w:eastAsia="仿宋" w:cs="宋体"/>
                <w:kern w:val="0"/>
                <w:sz w:val="20"/>
                <w:szCs w:val="20"/>
              </w:rPr>
              <w:t>年</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30</w:t>
            </w:r>
          </w:p>
        </w:tc>
        <w:tc>
          <w:tcPr>
            <w:tcW w:w="225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电视艺术学</w:t>
            </w:r>
          </w:p>
        </w:tc>
        <w:tc>
          <w:tcPr>
            <w:tcW w:w="3261"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欧阳宏生</w:t>
            </w:r>
          </w:p>
        </w:tc>
        <w:tc>
          <w:tcPr>
            <w:tcW w:w="2126"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北京大学出版社</w:t>
            </w:r>
          </w:p>
        </w:tc>
        <w:tc>
          <w:tcPr>
            <w:tcW w:w="134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2011</w:t>
            </w:r>
            <w:r>
              <w:rPr>
                <w:rFonts w:hint="eastAsia" w:ascii="仿宋" w:hAnsi="仿宋" w:eastAsia="仿宋" w:cs="宋体"/>
                <w:kern w:val="0"/>
                <w:sz w:val="20"/>
                <w:szCs w:val="20"/>
              </w:rPr>
              <w:t>年</w:t>
            </w:r>
          </w:p>
        </w:tc>
      </w:tr>
      <w:bookmarkEnd w:id="1"/>
    </w:tbl>
    <w:p>
      <w:pPr>
        <w:spacing w:line="440" w:lineRule="exact"/>
        <w:ind w:firstLine="562" w:firstLineChars="200"/>
        <w:rPr>
          <w:rFonts w:ascii="仿宋" w:hAnsi="仿宋" w:eastAsia="仿宋"/>
          <w:b/>
          <w:sz w:val="28"/>
          <w:szCs w:val="28"/>
        </w:rPr>
      </w:pPr>
      <w:bookmarkStart w:id="2" w:name="_GoBack"/>
      <w:bookmarkEnd w:id="2"/>
      <w:r>
        <w:rPr>
          <w:rFonts w:hint="eastAsia" w:ascii="仿宋" w:hAnsi="仿宋" w:eastAsia="仿宋"/>
          <w:b/>
          <w:sz w:val="28"/>
          <w:szCs w:val="28"/>
        </w:rPr>
        <w:t>十四、其他要求</w:t>
      </w:r>
    </w:p>
    <w:p>
      <w:pPr>
        <w:spacing w:line="440" w:lineRule="exact"/>
        <w:ind w:firstLine="560"/>
        <w:rPr>
          <w:rFonts w:hint="eastAsia" w:ascii="仿宋" w:hAnsi="仿宋" w:eastAsia="仿宋"/>
          <w:sz w:val="28"/>
          <w:szCs w:val="28"/>
        </w:rPr>
      </w:pPr>
      <w:r>
        <w:rPr>
          <w:rFonts w:hint="eastAsia" w:ascii="仿宋" w:hAnsi="仿宋" w:eastAsia="仿宋" w:cs="宋体"/>
          <w:sz w:val="28"/>
          <w:szCs w:val="28"/>
        </w:rPr>
        <w:t>（一）</w:t>
      </w:r>
      <w:r>
        <w:rPr>
          <w:rFonts w:hint="eastAsia" w:ascii="仿宋" w:hAnsi="仿宋" w:eastAsia="仿宋"/>
          <w:sz w:val="28"/>
          <w:szCs w:val="28"/>
        </w:rPr>
        <w:t>华人及来华留学生毕业时中文能力须达到《国际汉语能力标准》五级水平（HSK5 级）。</w:t>
      </w:r>
    </w:p>
    <w:p>
      <w:pPr>
        <w:spacing w:line="440" w:lineRule="exact"/>
        <w:ind w:firstLine="560"/>
        <w:rPr>
          <w:rFonts w:ascii="仿宋" w:hAnsi="仿宋" w:eastAsia="仿宋" w:cs="宋体"/>
          <w:sz w:val="28"/>
          <w:szCs w:val="28"/>
        </w:rPr>
      </w:pPr>
      <w:r>
        <w:rPr>
          <w:rFonts w:hint="eastAsia" w:ascii="仿宋" w:hAnsi="仿宋" w:eastAsia="仿宋" w:cs="宋体"/>
          <w:sz w:val="28"/>
          <w:szCs w:val="28"/>
        </w:rPr>
        <w:t>（二）本细则适用2022 级及以后艺术硕士（广播电视）专业学位硕士研究生。</w:t>
      </w:r>
    </w:p>
    <w:p>
      <w:pPr>
        <w:spacing w:line="460" w:lineRule="exact"/>
        <w:ind w:firstLine="482" w:firstLineChars="200"/>
        <w:rPr>
          <w:b/>
          <w:sz w:val="24"/>
          <w:szCs w:val="24"/>
        </w:rPr>
      </w:pPr>
    </w:p>
    <w:p>
      <w:pPr>
        <w:spacing w:line="460" w:lineRule="exact"/>
        <w:ind w:firstLine="482" w:firstLineChars="200"/>
        <w:rPr>
          <w:b/>
          <w:sz w:val="24"/>
          <w:szCs w:val="24"/>
        </w:rPr>
      </w:pPr>
    </w:p>
    <w:p>
      <w:pPr>
        <w:spacing w:line="460" w:lineRule="exact"/>
        <w:ind w:firstLine="482" w:firstLineChars="200"/>
        <w:rPr>
          <w:b/>
          <w:sz w:val="24"/>
          <w:szCs w:val="24"/>
        </w:rPr>
      </w:pPr>
    </w:p>
    <w:p>
      <w:pPr>
        <w:spacing w:line="460" w:lineRule="exact"/>
        <w:ind w:firstLine="482" w:firstLineChars="200"/>
        <w:rPr>
          <w:b/>
          <w:sz w:val="24"/>
          <w:szCs w:val="24"/>
        </w:rPr>
      </w:pPr>
    </w:p>
    <w:p>
      <w:pPr>
        <w:spacing w:line="460" w:lineRule="exact"/>
        <w:ind w:firstLine="482" w:firstLineChars="200"/>
        <w:rPr>
          <w:b/>
          <w:sz w:val="24"/>
          <w:szCs w:val="24"/>
        </w:rPr>
      </w:pPr>
    </w:p>
    <w:p>
      <w:pPr>
        <w:spacing w:line="460" w:lineRule="exact"/>
        <w:ind w:firstLine="482" w:firstLineChars="200"/>
        <w:rPr>
          <w:b/>
          <w:sz w:val="24"/>
          <w:szCs w:val="24"/>
        </w:rPr>
      </w:pPr>
    </w:p>
    <w:p>
      <w:pPr>
        <w:spacing w:line="460" w:lineRule="exact"/>
        <w:ind w:firstLine="482" w:firstLineChars="200"/>
        <w:rPr>
          <w:b/>
          <w:sz w:val="24"/>
          <w:szCs w:val="24"/>
        </w:rPr>
      </w:pPr>
    </w:p>
    <w:p>
      <w:pPr>
        <w:spacing w:line="460" w:lineRule="exact"/>
        <w:ind w:firstLine="482" w:firstLineChars="200"/>
        <w:rPr>
          <w:b/>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Y5MWM3Mzg5YWRlNzQ2Y2M3Yjc5MTM0OGFjNzcifQ=="/>
  </w:docVars>
  <w:rsids>
    <w:rsidRoot w:val="00040BEC"/>
    <w:rsid w:val="00040BEC"/>
    <w:rsid w:val="00045B37"/>
    <w:rsid w:val="000525EC"/>
    <w:rsid w:val="00091908"/>
    <w:rsid w:val="000E0E5E"/>
    <w:rsid w:val="00113434"/>
    <w:rsid w:val="00140C9E"/>
    <w:rsid w:val="00176D6A"/>
    <w:rsid w:val="00185890"/>
    <w:rsid w:val="001B7279"/>
    <w:rsid w:val="002163CB"/>
    <w:rsid w:val="002440A5"/>
    <w:rsid w:val="00281AEA"/>
    <w:rsid w:val="0029479C"/>
    <w:rsid w:val="002D34B6"/>
    <w:rsid w:val="002D7DF6"/>
    <w:rsid w:val="00310E91"/>
    <w:rsid w:val="0032256D"/>
    <w:rsid w:val="00322646"/>
    <w:rsid w:val="00344776"/>
    <w:rsid w:val="00360C5A"/>
    <w:rsid w:val="00367037"/>
    <w:rsid w:val="00387E8E"/>
    <w:rsid w:val="003A1098"/>
    <w:rsid w:val="00413C90"/>
    <w:rsid w:val="00440269"/>
    <w:rsid w:val="004521A4"/>
    <w:rsid w:val="00464588"/>
    <w:rsid w:val="004B540C"/>
    <w:rsid w:val="004E0740"/>
    <w:rsid w:val="00515FD9"/>
    <w:rsid w:val="005324DF"/>
    <w:rsid w:val="0056044A"/>
    <w:rsid w:val="00582FA4"/>
    <w:rsid w:val="005A05A4"/>
    <w:rsid w:val="005A7A39"/>
    <w:rsid w:val="005E71BD"/>
    <w:rsid w:val="005F635D"/>
    <w:rsid w:val="00621E3E"/>
    <w:rsid w:val="006A30F1"/>
    <w:rsid w:val="006D05AF"/>
    <w:rsid w:val="006D3B9A"/>
    <w:rsid w:val="00714E8F"/>
    <w:rsid w:val="00757EBA"/>
    <w:rsid w:val="007B4150"/>
    <w:rsid w:val="007C0D72"/>
    <w:rsid w:val="007C258F"/>
    <w:rsid w:val="007C4466"/>
    <w:rsid w:val="007E0447"/>
    <w:rsid w:val="007E4CD1"/>
    <w:rsid w:val="007F61BC"/>
    <w:rsid w:val="00894BED"/>
    <w:rsid w:val="008A370F"/>
    <w:rsid w:val="008D4B55"/>
    <w:rsid w:val="009904D0"/>
    <w:rsid w:val="00997C6E"/>
    <w:rsid w:val="009B41A0"/>
    <w:rsid w:val="00A01B42"/>
    <w:rsid w:val="00A13F0A"/>
    <w:rsid w:val="00A168A0"/>
    <w:rsid w:val="00A20B0F"/>
    <w:rsid w:val="00A47C26"/>
    <w:rsid w:val="00A81BED"/>
    <w:rsid w:val="00A8515F"/>
    <w:rsid w:val="00B00845"/>
    <w:rsid w:val="00B067CC"/>
    <w:rsid w:val="00B16C1F"/>
    <w:rsid w:val="00B460EE"/>
    <w:rsid w:val="00B5532F"/>
    <w:rsid w:val="00C1794D"/>
    <w:rsid w:val="00C2763D"/>
    <w:rsid w:val="00C5072E"/>
    <w:rsid w:val="00C67A6D"/>
    <w:rsid w:val="00C76022"/>
    <w:rsid w:val="00C812A1"/>
    <w:rsid w:val="00CA5145"/>
    <w:rsid w:val="00CD1A0F"/>
    <w:rsid w:val="00CE0C05"/>
    <w:rsid w:val="00D11CC0"/>
    <w:rsid w:val="00D23C63"/>
    <w:rsid w:val="00D37074"/>
    <w:rsid w:val="00D40C15"/>
    <w:rsid w:val="00D81295"/>
    <w:rsid w:val="00DD4E71"/>
    <w:rsid w:val="00E07F67"/>
    <w:rsid w:val="00E26020"/>
    <w:rsid w:val="00E57EA2"/>
    <w:rsid w:val="00E65D86"/>
    <w:rsid w:val="00EA2CC8"/>
    <w:rsid w:val="00EA5F00"/>
    <w:rsid w:val="00F000EE"/>
    <w:rsid w:val="00F220ED"/>
    <w:rsid w:val="00F90E6A"/>
    <w:rsid w:val="00FB019D"/>
    <w:rsid w:val="022C3679"/>
    <w:rsid w:val="027B77D3"/>
    <w:rsid w:val="04E57B9A"/>
    <w:rsid w:val="0A440E58"/>
    <w:rsid w:val="0BB04102"/>
    <w:rsid w:val="0D942DA3"/>
    <w:rsid w:val="0FBF07CB"/>
    <w:rsid w:val="11116598"/>
    <w:rsid w:val="1889357B"/>
    <w:rsid w:val="221E2893"/>
    <w:rsid w:val="228C233C"/>
    <w:rsid w:val="23A4364A"/>
    <w:rsid w:val="24264B88"/>
    <w:rsid w:val="24806232"/>
    <w:rsid w:val="271E11E5"/>
    <w:rsid w:val="2BA2368E"/>
    <w:rsid w:val="2C760A7D"/>
    <w:rsid w:val="2D0048D9"/>
    <w:rsid w:val="320D6155"/>
    <w:rsid w:val="33BB1947"/>
    <w:rsid w:val="342E1FE3"/>
    <w:rsid w:val="39900922"/>
    <w:rsid w:val="39BD9662"/>
    <w:rsid w:val="39F83635"/>
    <w:rsid w:val="3A722ECD"/>
    <w:rsid w:val="3D29255C"/>
    <w:rsid w:val="3DE63393"/>
    <w:rsid w:val="3F714359"/>
    <w:rsid w:val="400A3A9C"/>
    <w:rsid w:val="42CF1EF9"/>
    <w:rsid w:val="45635E34"/>
    <w:rsid w:val="47CA7D9C"/>
    <w:rsid w:val="4C8B6E1D"/>
    <w:rsid w:val="4DBC5181"/>
    <w:rsid w:val="4E4A72B7"/>
    <w:rsid w:val="59572799"/>
    <w:rsid w:val="5DB9526F"/>
    <w:rsid w:val="64051A86"/>
    <w:rsid w:val="675C1991"/>
    <w:rsid w:val="69553B13"/>
    <w:rsid w:val="70BA2278"/>
    <w:rsid w:val="76D2183A"/>
    <w:rsid w:val="76ED171B"/>
    <w:rsid w:val="79B67946"/>
    <w:rsid w:val="7A166288"/>
    <w:rsid w:val="7C2A356C"/>
    <w:rsid w:val="7EF46ED2"/>
    <w:rsid w:val="DEFE9F00"/>
    <w:rsid w:val="EDD7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FollowedHyperlink"/>
    <w:basedOn w:val="8"/>
    <w:unhideWhenUsed/>
    <w:qFormat/>
    <w:uiPriority w:val="99"/>
    <w:rPr>
      <w:color w:val="003366"/>
      <w:u w:val="single"/>
    </w:rPr>
  </w:style>
  <w:style w:type="character" w:styleId="10">
    <w:name w:val="Hyperlink"/>
    <w:basedOn w:val="8"/>
    <w:unhideWhenUsed/>
    <w:qFormat/>
    <w:uiPriority w:val="99"/>
    <w:rPr>
      <w:color w:val="003366"/>
      <w:u w:val="single"/>
    </w:rPr>
  </w:style>
  <w:style w:type="character" w:customStyle="1" w:styleId="11">
    <w:name w:val="页眉 Char"/>
    <w:basedOn w:val="8"/>
    <w:link w:val="5"/>
    <w:qFormat/>
    <w:uiPriority w:val="99"/>
    <w:rPr>
      <w:rFonts w:ascii="Calibri" w:hAnsi="Calibri" w:eastAsia="宋体" w:cs="Times New Roman"/>
      <w:sz w:val="18"/>
      <w:szCs w:val="18"/>
    </w:rPr>
  </w:style>
  <w:style w:type="character" w:customStyle="1" w:styleId="12">
    <w:name w:val="页脚 Char"/>
    <w:basedOn w:val="8"/>
    <w:link w:val="4"/>
    <w:qFormat/>
    <w:uiPriority w:val="99"/>
    <w:rPr>
      <w:rFonts w:ascii="Calibri" w:hAnsi="Calibri" w:eastAsia="宋体" w:cs="Times New Roman"/>
      <w:sz w:val="18"/>
      <w:szCs w:val="18"/>
    </w:rPr>
  </w:style>
  <w:style w:type="paragraph" w:customStyle="1" w:styleId="13">
    <w:name w:val="List Paragraph"/>
    <w:basedOn w:val="1"/>
    <w:unhideWhenUsed/>
    <w:qFormat/>
    <w:uiPriority w:val="99"/>
    <w:pPr>
      <w:ind w:firstLine="420" w:firstLineChars="200"/>
    </w:pPr>
  </w:style>
  <w:style w:type="character" w:customStyle="1" w:styleId="14">
    <w:name w:val="批注框文本 Char"/>
    <w:basedOn w:val="8"/>
    <w:link w:val="3"/>
    <w:semiHidden/>
    <w:qFormat/>
    <w:uiPriority w:val="99"/>
    <w:rPr>
      <w:rFonts w:ascii="Calibri" w:hAnsi="Calibri" w:eastAsia="宋体" w:cs="Times New Roman"/>
      <w:kern w:val="2"/>
      <w:sz w:val="18"/>
      <w:szCs w:val="18"/>
    </w:rPr>
  </w:style>
  <w:style w:type="paragraph" w:customStyle="1" w:styleId="15">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6">
    <w:name w:val="active6"/>
    <w:basedOn w:val="8"/>
    <w:qFormat/>
    <w:uiPriority w:val="0"/>
    <w:rPr>
      <w:color w:val="FFFFFF"/>
    </w:rPr>
  </w:style>
  <w:style w:type="character" w:customStyle="1" w:styleId="17">
    <w:name w:val="item_main"/>
    <w:basedOn w:val="8"/>
    <w:qFormat/>
    <w:uiPriority w:val="0"/>
  </w:style>
  <w:style w:type="character" w:customStyle="1" w:styleId="18">
    <w:name w:val="active5"/>
    <w:basedOn w:val="8"/>
    <w:qFormat/>
    <w:uiPriority w:val="0"/>
    <w:rPr>
      <w:color w:val="FFFFFF"/>
    </w:rPr>
  </w:style>
  <w:style w:type="character" w:customStyle="1" w:styleId="19">
    <w:name w:val="active7"/>
    <w:basedOn w:val="8"/>
    <w:qFormat/>
    <w:uiPriority w:val="0"/>
    <w:rPr>
      <w:color w:val="FFFFFF"/>
    </w:rPr>
  </w:style>
  <w:style w:type="character" w:customStyle="1" w:styleId="20">
    <w:name w:val="active"/>
    <w:basedOn w:val="8"/>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5636</Words>
  <Characters>7083</Characters>
  <Lines>55</Lines>
  <Paragraphs>15</Paragraphs>
  <TotalTime>0</TotalTime>
  <ScaleCrop>false</ScaleCrop>
  <LinksUpToDate>false</LinksUpToDate>
  <CharactersWithSpaces>7241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2022-05-16T11:22:00Z</dcterms:created>
  <dc:creator>郑桦</dc:creator>
  <cp:lastModifiedBy>lueilueiluei</cp:lastModifiedBy>
  <cp:lastPrinted>2022-05-18T09:48:00Z</cp:lastPrinted>
  <dcterms:modified xsi:type="dcterms:W3CDTF">2023-08-24T05:27:59Z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DDDDF2F57C794B1A9C17BADACB6E38A4</vt:lpwstr>
  </property>
</Properties>
</file>