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b/>
          <w:sz w:val="30"/>
          <w:szCs w:val="30"/>
          <w:highlight w:val="none"/>
        </w:rPr>
      </w:pPr>
      <w:r>
        <w:rPr>
          <w:rFonts w:hint="eastAsia" w:eastAsia="方正小标宋简体"/>
          <w:b/>
          <w:sz w:val="30"/>
          <w:szCs w:val="30"/>
          <w:highlight w:val="none"/>
        </w:rPr>
        <w:t>新闻传播学一级学科硕士研究生培养方案</w:t>
      </w:r>
    </w:p>
    <w:p>
      <w:pPr>
        <w:spacing w:line="480" w:lineRule="exact"/>
        <w:ind w:firstLine="643" w:firstLineChars="200"/>
        <w:jc w:val="center"/>
        <w:rPr>
          <w:rFonts w:eastAsia="方正小标宋简体"/>
          <w:b/>
          <w:sz w:val="30"/>
          <w:szCs w:val="30"/>
          <w:highlight w:val="none"/>
        </w:rPr>
      </w:pPr>
      <w:r>
        <w:rPr>
          <w:rFonts w:ascii="Times New Roman" w:hAnsi="Times New Roman" w:eastAsia="方正小标宋简体"/>
          <w:b/>
          <w:sz w:val="32"/>
          <w:szCs w:val="32"/>
          <w:highlight w:val="none"/>
        </w:rPr>
        <w:t>Developing Plan for Master of Journalism and Communication</w:t>
      </w:r>
    </w:p>
    <w:p>
      <w:pPr>
        <w:ind w:firstLine="880"/>
        <w:jc w:val="center"/>
        <w:rPr>
          <w:rFonts w:eastAsia="方正小标宋简体"/>
          <w:b/>
          <w:sz w:val="32"/>
          <w:szCs w:val="32"/>
          <w:highlight w:val="none"/>
        </w:rPr>
      </w:pPr>
      <w:r>
        <w:rPr>
          <w:rFonts w:hint="eastAsia" w:eastAsia="方正小标宋简体"/>
          <w:b/>
          <w:sz w:val="32"/>
          <w:szCs w:val="32"/>
          <w:highlight w:val="none"/>
        </w:rPr>
        <w:t>（</w:t>
      </w:r>
      <w:r>
        <w:rPr>
          <w:rFonts w:eastAsia="方正小标宋简体"/>
          <w:b/>
          <w:sz w:val="32"/>
          <w:szCs w:val="32"/>
          <w:highlight w:val="none"/>
        </w:rPr>
        <w:t>0</w:t>
      </w:r>
      <w:r>
        <w:rPr>
          <w:rFonts w:hint="eastAsia" w:eastAsia="方正小标宋简体"/>
          <w:b/>
          <w:sz w:val="32"/>
          <w:szCs w:val="32"/>
          <w:highlight w:val="none"/>
        </w:rPr>
        <w:t>503）</w:t>
      </w:r>
      <w:r>
        <w:rPr>
          <w:rFonts w:hint="eastAsia" w:eastAsia="方正小标宋简体"/>
          <w:b/>
          <w:sz w:val="30"/>
          <w:szCs w:val="30"/>
          <w:highlight w:val="none"/>
        </w:rPr>
        <w:t>（学术学位，内招）</w:t>
      </w:r>
    </w:p>
    <w:p>
      <w:pPr>
        <w:tabs>
          <w:tab w:val="left" w:pos="142"/>
        </w:tabs>
        <w:spacing w:line="460" w:lineRule="exact"/>
        <w:rPr>
          <w:sz w:val="24"/>
          <w:highlight w:val="none"/>
        </w:rPr>
      </w:pPr>
    </w:p>
    <w:p>
      <w:pPr>
        <w:tabs>
          <w:tab w:val="left" w:pos="142"/>
        </w:tabs>
        <w:spacing w:line="460" w:lineRule="exact"/>
        <w:ind w:firstLine="482" w:firstLineChars="200"/>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一、培养方向</w:t>
      </w:r>
    </w:p>
    <w:p>
      <w:pPr>
        <w:spacing w:line="440" w:lineRule="exact"/>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1.050301 新闻学 Journalism</w:t>
      </w:r>
    </w:p>
    <w:p>
      <w:pPr>
        <w:spacing w:line="440" w:lineRule="exact"/>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2.050302 传播学 Communication</w:t>
      </w:r>
    </w:p>
    <w:p>
      <w:pPr>
        <w:spacing w:line="440" w:lineRule="exact"/>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3.0503Z3 国际传播 International Communication</w:t>
      </w:r>
    </w:p>
    <w:p>
      <w:pPr>
        <w:spacing w:line="460" w:lineRule="exact"/>
        <w:ind w:firstLine="482" w:firstLineChars="200"/>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二、培养目标及基本要求</w:t>
      </w:r>
    </w:p>
    <w:p>
      <w:pPr>
        <w:spacing w:line="460" w:lineRule="exact"/>
        <w:ind w:firstLine="482" w:firstLineChars="200"/>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（一）培养目标</w:t>
      </w:r>
    </w:p>
    <w:p>
      <w:pPr>
        <w:spacing w:line="460" w:lineRule="exact"/>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sz w:val="24"/>
          <w:szCs w:val="24"/>
          <w:highlight w:val="none"/>
        </w:rPr>
        <w:t>培养德智体美劳全面发展，牢固树立马克思主义新闻观，了解中国国情，具有现代新闻传播理论和国际化视野，掌握新</w:t>
      </w:r>
      <w:r>
        <w:rPr>
          <w:rFonts w:hint="eastAsia" w:ascii="仿宋" w:hAnsi="仿宋" w:eastAsia="仿宋"/>
          <w:color w:val="000000" w:themeColor="text1"/>
          <w:sz w:val="24"/>
          <w:szCs w:val="24"/>
          <w:highlight w:val="none"/>
          <w14:textFill>
            <w14:solidFill>
              <w14:schemeClr w14:val="tx1"/>
            </w14:solidFill>
          </w14:textFill>
        </w:rPr>
        <w:t>闻传播技能与方法，具备一定的批判性思维和创新性思维，能从事新闻传播研究工作或独立承担新闻传播技术或管理工作，具备进一步深造的学术基础和科研技能的高素质研究型新闻传播人才。</w:t>
      </w:r>
    </w:p>
    <w:p>
      <w:pPr>
        <w:spacing w:line="460" w:lineRule="exact"/>
        <w:ind w:firstLine="482" w:firstLineChars="200"/>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(二) 基本要求</w:t>
      </w:r>
    </w:p>
    <w:p>
      <w:pPr>
        <w:spacing w:line="460" w:lineRule="exact"/>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品德素质：具有坚定正确的政治方向，热爱社会主义祖国，拥护中国共产党的领导，掌握马克思主义的基本理论和马克思主义新闻观，遵纪守法，品行端正，诚实守信，身心健康，有社会责任感和团队合作精神。恪守学术道德、新闻传播职业道德，崇尚学术诚信，热爱科学研究。具有严谨的科研作风和锲而不舍的钻研精神。</w:t>
      </w:r>
    </w:p>
    <w:p>
      <w:pPr>
        <w:spacing w:line="460" w:lineRule="exact"/>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2.知识结构：适应科技进步和经济社会发展的需要，掌握新闻传播学坚实的基础理论和系统的专门知识，具有批判性思维和创新性思维；熟练掌握一门外国语；了解新闻传播学科发展方向及国际学术研究前沿。</w:t>
      </w:r>
    </w:p>
    <w:p>
      <w:pPr>
        <w:spacing w:line="460" w:lineRule="exact"/>
        <w:ind w:firstLine="480" w:firstLineChars="200"/>
        <w:rPr>
          <w:rFonts w:ascii="仿宋" w:hAnsi="仿宋" w:eastAsia="仿宋"/>
          <w:b/>
          <w:sz w:val="24"/>
          <w:szCs w:val="24"/>
          <w:highlight w:val="none"/>
        </w:rPr>
      </w:pPr>
      <w:r>
        <w:rPr>
          <w:rFonts w:hint="eastAsia" w:ascii="仿宋" w:hAnsi="仿宋" w:eastAsia="仿宋"/>
          <w:sz w:val="24"/>
          <w:szCs w:val="24"/>
          <w:highlight w:val="none"/>
        </w:rPr>
        <w:t>3.基本能力：掌握新闻传播学的基本研究方法，具有发现问题、提出问题和解决问题的基本能力。能较熟练地阅读外文资料，具备开展学术研究、学术交流和及时了解国际学术前沿发展动态的能力。通过系统的科研训练，能从事新闻传播学研究工作或独立担负专门技术工作。具有良好的合作、组织与领导能力。</w:t>
      </w:r>
    </w:p>
    <w:p>
      <w:pPr>
        <w:spacing w:line="460" w:lineRule="exact"/>
        <w:ind w:firstLine="482" w:firstLineChars="200"/>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三、学习年限</w:t>
      </w:r>
    </w:p>
    <w:p>
      <w:pPr>
        <w:spacing w:line="4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学制3 年。学习年限根据情况可适当延长，最长不得超过5年。</w:t>
      </w:r>
    </w:p>
    <w:p>
      <w:pPr>
        <w:spacing w:line="460" w:lineRule="exact"/>
        <w:ind w:firstLine="480" w:firstLineChars="200"/>
        <w:rPr>
          <w:rFonts w:asciiTheme="minorEastAsia" w:hAnsiTheme="minorEastAsia" w:eastAsiaTheme="minorEastAsia"/>
          <w:b/>
          <w:sz w:val="24"/>
          <w:szCs w:val="24"/>
          <w:highlight w:val="none"/>
        </w:rPr>
      </w:pPr>
      <w:r>
        <w:rPr>
          <w:rFonts w:hint="eastAsia" w:ascii="仿宋" w:hAnsi="仿宋" w:eastAsia="仿宋"/>
          <w:sz w:val="24"/>
          <w:szCs w:val="24"/>
          <w:highlight w:val="none"/>
        </w:rPr>
        <w:t>硕士研究生学业成绩优良，科研成果突出，提前达到学校毕业要求的，可以申请提前毕业。具体按《暨南大学研究生学籍管理办法》中相关规定执行。</w:t>
      </w:r>
    </w:p>
    <w:p>
      <w:pPr>
        <w:spacing w:line="460" w:lineRule="exact"/>
        <w:ind w:firstLine="482" w:firstLineChars="200"/>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四、培养方式</w:t>
      </w:r>
    </w:p>
    <w:p>
      <w:pPr>
        <w:spacing w:line="4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学术学位硕士生采用课程学习、科研训练、学术交流、学位论文相结合的培养方式。学术学位硕士生的培养工作采取以指导教师培养为主与指导小组集体培养相结合的方式，鼓励学科交叉，鼓励海内外合作培养。</w:t>
      </w:r>
    </w:p>
    <w:p>
      <w:pPr>
        <w:spacing w:line="4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本学位点硕士研究生可分为全日制和非全日制两种学习方式。</w:t>
      </w:r>
    </w:p>
    <w:p>
      <w:pPr>
        <w:spacing w:line="460" w:lineRule="exact"/>
        <w:ind w:firstLine="482" w:firstLineChars="200"/>
        <w:rPr>
          <w:rFonts w:ascii="宋体" w:hAnsi="宋体"/>
          <w:b/>
          <w:sz w:val="24"/>
          <w:szCs w:val="24"/>
          <w:highlight w:val="none"/>
        </w:rPr>
      </w:pPr>
      <w:r>
        <w:rPr>
          <w:rFonts w:hint="eastAsia" w:ascii="宋体" w:hAnsi="宋体"/>
          <w:b/>
          <w:sz w:val="24"/>
          <w:szCs w:val="24"/>
          <w:highlight w:val="none"/>
        </w:rPr>
        <w:t>五、学分要求及课程体系设置</w:t>
      </w:r>
    </w:p>
    <w:p>
      <w:pPr>
        <w:spacing w:line="460" w:lineRule="exact"/>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本学科要求修满30学分，其中公共学位课5学分，专业学位课8学分，非学位课程17学分。</w:t>
      </w:r>
    </w:p>
    <w:p>
      <w:pPr>
        <w:spacing w:line="460" w:lineRule="exact"/>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第一学期选修10-14学分，不得超过14学分；第二学期选修12-16学分；第三学期选修4学分。</w:t>
      </w:r>
    </w:p>
    <w:p>
      <w:pPr>
        <w:spacing w:line="460" w:lineRule="exact"/>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学科前沿讲座为必选课，硕士生在第1-3学期应参加不少于25次学科前沿讲座或学院举办的其他学术会议、大型活动等，并结合对前沿文献的研读，在本学科专业做一次相关的学术报告（学术报告与中期考核同时进行），计1 学分。</w:t>
      </w:r>
    </w:p>
    <w:p>
      <w:pPr>
        <w:spacing w:line="460" w:lineRule="exact"/>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同等学力或跨一级学科考取的硕士生，应在导师指导下，补修3门本学科本科核心课程（具体课程参考本学科本科培养方案），所修课程只登记成绩不计学分。</w:t>
      </w:r>
    </w:p>
    <w:p>
      <w:pPr>
        <w:spacing w:line="240" w:lineRule="exact"/>
        <w:ind w:firstLine="561"/>
        <w:rPr>
          <w:rFonts w:ascii="仿宋" w:hAnsi="仿宋" w:eastAsia="仿宋" w:cs="宋体"/>
          <w:sz w:val="28"/>
          <w:szCs w:val="28"/>
          <w:highlight w:val="none"/>
        </w:rPr>
      </w:pPr>
    </w:p>
    <w:tbl>
      <w:tblPr>
        <w:tblStyle w:val="5"/>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276"/>
        <w:gridCol w:w="3402"/>
        <w:gridCol w:w="567"/>
        <w:gridCol w:w="425"/>
        <w:gridCol w:w="709"/>
        <w:gridCol w:w="708"/>
        <w:gridCol w:w="7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88" w:type="dxa"/>
            <w:vAlign w:val="center"/>
          </w:tcPr>
          <w:p>
            <w:pPr>
              <w:spacing w:line="240" w:lineRule="exact"/>
              <w:jc w:val="center"/>
              <w:rPr>
                <w:rFonts w:ascii="仿宋" w:hAnsi="仿宋" w:eastAsia="仿宋" w:cs="宋体"/>
                <w:b/>
                <w:szCs w:val="21"/>
                <w:highlight w:val="none"/>
              </w:rPr>
            </w:pPr>
            <w:r>
              <w:rPr>
                <w:rFonts w:hint="eastAsia" w:ascii="仿宋" w:hAnsi="仿宋" w:eastAsia="仿宋" w:cs="宋体"/>
                <w:b/>
                <w:szCs w:val="21"/>
                <w:highlight w:val="none"/>
              </w:rPr>
              <w:t>课程</w:t>
            </w:r>
          </w:p>
          <w:p>
            <w:pPr>
              <w:spacing w:line="240" w:lineRule="exact"/>
              <w:jc w:val="center"/>
              <w:rPr>
                <w:rFonts w:ascii="仿宋" w:hAnsi="仿宋" w:eastAsia="仿宋" w:cs="宋体"/>
                <w:b/>
                <w:szCs w:val="21"/>
                <w:highlight w:val="none"/>
              </w:rPr>
            </w:pPr>
            <w:r>
              <w:rPr>
                <w:rFonts w:hint="eastAsia" w:ascii="仿宋" w:hAnsi="仿宋" w:eastAsia="仿宋" w:cs="宋体"/>
                <w:b/>
                <w:szCs w:val="21"/>
                <w:highlight w:val="none"/>
              </w:rPr>
              <w:t>类别</w:t>
            </w:r>
          </w:p>
        </w:tc>
        <w:tc>
          <w:tcPr>
            <w:tcW w:w="1276" w:type="dxa"/>
            <w:vAlign w:val="center"/>
          </w:tcPr>
          <w:p>
            <w:pPr>
              <w:spacing w:line="240" w:lineRule="exact"/>
              <w:jc w:val="center"/>
              <w:rPr>
                <w:rFonts w:ascii="仿宋" w:hAnsi="仿宋" w:eastAsia="仿宋" w:cs="宋体"/>
                <w:b/>
                <w:szCs w:val="21"/>
                <w:highlight w:val="none"/>
              </w:rPr>
            </w:pPr>
            <w:r>
              <w:rPr>
                <w:rFonts w:hint="eastAsia" w:ascii="仿宋" w:hAnsi="仿宋" w:eastAsia="仿宋" w:cs="宋体"/>
                <w:b/>
                <w:szCs w:val="21"/>
                <w:highlight w:val="none"/>
              </w:rPr>
              <w:t>课程编号</w:t>
            </w:r>
          </w:p>
        </w:tc>
        <w:tc>
          <w:tcPr>
            <w:tcW w:w="3402" w:type="dxa"/>
            <w:vAlign w:val="center"/>
          </w:tcPr>
          <w:p>
            <w:pPr>
              <w:spacing w:line="240" w:lineRule="exact"/>
              <w:jc w:val="center"/>
              <w:rPr>
                <w:rFonts w:ascii="仿宋" w:hAnsi="仿宋" w:eastAsia="仿宋" w:cs="宋体"/>
                <w:b/>
                <w:szCs w:val="21"/>
                <w:highlight w:val="none"/>
              </w:rPr>
            </w:pPr>
            <w:r>
              <w:rPr>
                <w:rFonts w:hint="eastAsia" w:ascii="仿宋" w:hAnsi="仿宋" w:eastAsia="仿宋" w:cs="宋体"/>
                <w:b/>
                <w:szCs w:val="21"/>
                <w:highlight w:val="none"/>
              </w:rPr>
              <w:t>课程中文名称</w:t>
            </w:r>
          </w:p>
          <w:p>
            <w:pPr>
              <w:spacing w:line="240" w:lineRule="exact"/>
              <w:jc w:val="center"/>
              <w:rPr>
                <w:rFonts w:ascii="仿宋" w:hAnsi="仿宋" w:eastAsia="仿宋" w:cs="宋体"/>
                <w:b/>
                <w:szCs w:val="21"/>
                <w:highlight w:val="none"/>
              </w:rPr>
            </w:pPr>
            <w:r>
              <w:rPr>
                <w:rFonts w:hint="eastAsia" w:ascii="仿宋" w:hAnsi="仿宋" w:eastAsia="仿宋" w:cs="宋体"/>
                <w:b/>
                <w:szCs w:val="21"/>
                <w:highlight w:val="none"/>
              </w:rPr>
              <w:t>（课程英文名称）</w:t>
            </w:r>
          </w:p>
        </w:tc>
        <w:tc>
          <w:tcPr>
            <w:tcW w:w="567" w:type="dxa"/>
            <w:vAlign w:val="center"/>
          </w:tcPr>
          <w:p>
            <w:pPr>
              <w:spacing w:line="240" w:lineRule="exact"/>
              <w:jc w:val="center"/>
              <w:rPr>
                <w:rFonts w:ascii="仿宋" w:hAnsi="仿宋" w:eastAsia="仿宋" w:cs="宋体"/>
                <w:b/>
                <w:szCs w:val="21"/>
                <w:highlight w:val="none"/>
              </w:rPr>
            </w:pPr>
            <w:r>
              <w:rPr>
                <w:rFonts w:hint="eastAsia" w:ascii="仿宋" w:hAnsi="仿宋" w:eastAsia="仿宋" w:cs="宋体"/>
                <w:b/>
                <w:szCs w:val="21"/>
                <w:highlight w:val="none"/>
              </w:rPr>
              <w:t>学时</w:t>
            </w:r>
          </w:p>
        </w:tc>
        <w:tc>
          <w:tcPr>
            <w:tcW w:w="425" w:type="dxa"/>
            <w:vAlign w:val="center"/>
          </w:tcPr>
          <w:p>
            <w:pPr>
              <w:spacing w:line="240" w:lineRule="exact"/>
              <w:jc w:val="center"/>
              <w:rPr>
                <w:rFonts w:ascii="仿宋" w:hAnsi="仿宋" w:eastAsia="仿宋" w:cs="宋体"/>
                <w:b/>
                <w:szCs w:val="21"/>
                <w:highlight w:val="none"/>
              </w:rPr>
            </w:pPr>
            <w:r>
              <w:rPr>
                <w:rFonts w:hint="eastAsia" w:ascii="仿宋" w:hAnsi="仿宋" w:eastAsia="仿宋" w:cs="宋体"/>
                <w:b/>
                <w:szCs w:val="21"/>
                <w:highlight w:val="none"/>
              </w:rPr>
              <w:t>学分</w:t>
            </w:r>
          </w:p>
        </w:tc>
        <w:tc>
          <w:tcPr>
            <w:tcW w:w="709" w:type="dxa"/>
            <w:vAlign w:val="center"/>
          </w:tcPr>
          <w:p>
            <w:pPr>
              <w:spacing w:line="240" w:lineRule="exact"/>
              <w:jc w:val="center"/>
              <w:rPr>
                <w:rFonts w:ascii="仿宋" w:hAnsi="仿宋" w:eastAsia="仿宋" w:cs="宋体"/>
                <w:b/>
                <w:szCs w:val="21"/>
                <w:highlight w:val="none"/>
              </w:rPr>
            </w:pPr>
            <w:r>
              <w:rPr>
                <w:rFonts w:hint="eastAsia" w:ascii="仿宋" w:hAnsi="仿宋" w:eastAsia="仿宋" w:cs="宋体"/>
                <w:b/>
                <w:szCs w:val="21"/>
                <w:highlight w:val="none"/>
              </w:rPr>
              <w:t>开课学期</w:t>
            </w:r>
          </w:p>
        </w:tc>
        <w:tc>
          <w:tcPr>
            <w:tcW w:w="708" w:type="dxa"/>
            <w:vAlign w:val="center"/>
          </w:tcPr>
          <w:p>
            <w:pPr>
              <w:spacing w:line="240" w:lineRule="exact"/>
              <w:jc w:val="center"/>
              <w:rPr>
                <w:rFonts w:ascii="仿宋" w:hAnsi="仿宋" w:eastAsia="仿宋" w:cs="宋体"/>
                <w:b/>
                <w:szCs w:val="21"/>
                <w:highlight w:val="none"/>
              </w:rPr>
            </w:pPr>
            <w:r>
              <w:rPr>
                <w:rFonts w:hint="eastAsia" w:ascii="仿宋" w:hAnsi="仿宋" w:eastAsia="仿宋" w:cs="宋体"/>
                <w:b/>
                <w:szCs w:val="21"/>
                <w:highlight w:val="none"/>
              </w:rPr>
              <w:t>开课</w:t>
            </w:r>
          </w:p>
          <w:p>
            <w:pPr>
              <w:spacing w:line="240" w:lineRule="exact"/>
              <w:jc w:val="center"/>
              <w:rPr>
                <w:rFonts w:ascii="仿宋" w:hAnsi="仿宋" w:eastAsia="仿宋" w:cs="宋体"/>
                <w:b/>
                <w:szCs w:val="21"/>
                <w:highlight w:val="none"/>
              </w:rPr>
            </w:pPr>
            <w:r>
              <w:rPr>
                <w:rFonts w:hint="eastAsia" w:ascii="仿宋" w:hAnsi="仿宋" w:eastAsia="仿宋" w:cs="宋体"/>
                <w:b/>
                <w:szCs w:val="21"/>
                <w:highlight w:val="none"/>
              </w:rPr>
              <w:t>单位</w:t>
            </w:r>
          </w:p>
        </w:tc>
        <w:tc>
          <w:tcPr>
            <w:tcW w:w="709" w:type="dxa"/>
            <w:vAlign w:val="center"/>
          </w:tcPr>
          <w:p>
            <w:pPr>
              <w:spacing w:line="240" w:lineRule="exact"/>
              <w:jc w:val="center"/>
              <w:rPr>
                <w:rFonts w:ascii="仿宋" w:hAnsi="仿宋" w:eastAsia="仿宋" w:cs="宋体"/>
                <w:b/>
                <w:szCs w:val="21"/>
                <w:highlight w:val="none"/>
              </w:rPr>
            </w:pPr>
            <w:r>
              <w:rPr>
                <w:rFonts w:hint="eastAsia" w:ascii="仿宋" w:hAnsi="仿宋" w:eastAsia="仿宋" w:cs="宋体"/>
                <w:b/>
                <w:szCs w:val="21"/>
                <w:highlight w:val="none"/>
              </w:rPr>
              <w:t>考核</w:t>
            </w:r>
          </w:p>
          <w:p>
            <w:pPr>
              <w:spacing w:line="240" w:lineRule="exact"/>
              <w:jc w:val="center"/>
              <w:rPr>
                <w:rFonts w:ascii="仿宋" w:hAnsi="仿宋" w:eastAsia="仿宋" w:cs="宋体"/>
                <w:b/>
                <w:szCs w:val="21"/>
                <w:highlight w:val="none"/>
              </w:rPr>
            </w:pPr>
            <w:r>
              <w:rPr>
                <w:rFonts w:hint="eastAsia" w:ascii="仿宋" w:hAnsi="仿宋" w:eastAsia="仿宋" w:cs="宋体"/>
                <w:b/>
                <w:szCs w:val="21"/>
                <w:highlight w:val="none"/>
              </w:rPr>
              <w:t>方式</w:t>
            </w:r>
          </w:p>
        </w:tc>
        <w:tc>
          <w:tcPr>
            <w:tcW w:w="851" w:type="dxa"/>
            <w:vAlign w:val="center"/>
          </w:tcPr>
          <w:p>
            <w:pPr>
              <w:spacing w:line="240" w:lineRule="exact"/>
              <w:jc w:val="center"/>
              <w:rPr>
                <w:rFonts w:ascii="仿宋" w:hAnsi="仿宋" w:eastAsia="仿宋" w:cs="宋体"/>
                <w:b/>
                <w:szCs w:val="21"/>
                <w:highlight w:val="none"/>
              </w:rPr>
            </w:pPr>
            <w:r>
              <w:rPr>
                <w:rFonts w:hint="eastAsia" w:ascii="仿宋" w:hAnsi="仿宋" w:eastAsia="仿宋" w:cs="宋体"/>
                <w:b/>
                <w:szCs w:val="21"/>
                <w:highlight w:val="none"/>
              </w:rPr>
              <w:t>培养</w:t>
            </w:r>
          </w:p>
          <w:p>
            <w:pPr>
              <w:spacing w:line="240" w:lineRule="exact"/>
              <w:jc w:val="center"/>
              <w:rPr>
                <w:rFonts w:ascii="仿宋" w:hAnsi="仿宋" w:eastAsia="仿宋" w:cs="宋体"/>
                <w:b/>
                <w:szCs w:val="21"/>
                <w:highlight w:val="none"/>
              </w:rPr>
            </w:pPr>
            <w:r>
              <w:rPr>
                <w:rFonts w:hint="eastAsia" w:ascii="仿宋" w:hAnsi="仿宋" w:eastAsia="仿宋" w:cs="宋体"/>
                <w:b/>
                <w:szCs w:val="21"/>
                <w:highlight w:val="none"/>
              </w:rPr>
              <w:t>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vMerge w:val="restart"/>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公</w:t>
            </w:r>
          </w:p>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共</w:t>
            </w:r>
          </w:p>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学</w:t>
            </w:r>
          </w:p>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位</w:t>
            </w:r>
          </w:p>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课</w:t>
            </w:r>
          </w:p>
          <w:p>
            <w:pPr>
              <w:spacing w:line="240" w:lineRule="exact"/>
              <w:jc w:val="center"/>
              <w:rPr>
                <w:rFonts w:ascii="仿宋" w:hAnsi="仿宋" w:eastAsia="仿宋" w:cs="宋体"/>
                <w:szCs w:val="21"/>
                <w:highlight w:val="none"/>
              </w:rPr>
            </w:pPr>
          </w:p>
        </w:tc>
        <w:tc>
          <w:tcPr>
            <w:tcW w:w="1276" w:type="dxa"/>
            <w:tcBorders>
              <w:top w:val="nil"/>
              <w:left w:val="single" w:color="000000" w:sz="4" w:space="0"/>
              <w:bottom w:val="single" w:color="auto" w:sz="4" w:space="0"/>
              <w:right w:val="single" w:color="000000" w:sz="4" w:space="0"/>
            </w:tcBorders>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105590ma33</w:t>
            </w:r>
          </w:p>
        </w:tc>
        <w:tc>
          <w:tcPr>
            <w:tcW w:w="3402" w:type="dxa"/>
            <w:tcBorders>
              <w:top w:val="nil"/>
              <w:left w:val="nil"/>
              <w:bottom w:val="single" w:color="auto" w:sz="4" w:space="0"/>
              <w:right w:val="single" w:color="000000" w:sz="4" w:space="0"/>
            </w:tcBorders>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英语（跨文化交流）</w:t>
            </w:r>
          </w:p>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English</w:t>
            </w:r>
            <w:r>
              <w:rPr>
                <w:rFonts w:hint="default" w:ascii="仿宋" w:hAnsi="仿宋" w:eastAsia="仿宋" w:cs="宋体"/>
                <w:color w:val="000000" w:themeColor="text1"/>
                <w:szCs w:val="21"/>
                <w:highlight w:val="none"/>
                <w14:textFill>
                  <w14:solidFill>
                    <w14:schemeClr w14:val="tx1"/>
                  </w14:solidFill>
                </w14:textFill>
              </w:rPr>
              <w:t xml:space="preserve"> </w:t>
            </w:r>
            <w:r>
              <w:rPr>
                <w:rFonts w:hint="eastAsia" w:ascii="仿宋" w:hAnsi="仿宋" w:eastAsia="仿宋" w:cs="宋体"/>
                <w:color w:val="000000" w:themeColor="text1"/>
                <w:szCs w:val="21"/>
                <w:highlight w:val="none"/>
                <w14:textFill>
                  <w14:solidFill>
                    <w14:schemeClr w14:val="tx1"/>
                  </w14:solidFill>
                </w14:textFill>
              </w:rPr>
              <w:t>(Cross-Cultural Communication)</w:t>
            </w:r>
          </w:p>
        </w:tc>
        <w:tc>
          <w:tcPr>
            <w:tcW w:w="567" w:type="dxa"/>
            <w:tcBorders>
              <w:top w:val="nil"/>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36</w:t>
            </w:r>
          </w:p>
        </w:tc>
        <w:tc>
          <w:tcPr>
            <w:tcW w:w="425" w:type="dxa"/>
            <w:tcBorders>
              <w:top w:val="nil"/>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tcBorders>
              <w:top w:val="nil"/>
              <w:left w:val="single" w:color="000000" w:sz="4" w:space="0"/>
              <w:bottom w:val="single" w:color="000000" w:sz="4" w:space="0"/>
              <w:right w:val="single" w:color="auto" w:sz="4" w:space="0"/>
            </w:tcBorders>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8" w:type="dxa"/>
            <w:tcBorders>
              <w:top w:val="nil"/>
              <w:left w:val="single" w:color="auto" w:sz="4" w:space="0"/>
              <w:bottom w:val="single" w:color="000000" w:sz="4" w:space="0"/>
              <w:right w:val="single" w:color="000000" w:sz="4" w:space="0"/>
            </w:tcBorders>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外国语学院</w:t>
            </w:r>
          </w:p>
        </w:tc>
        <w:tc>
          <w:tcPr>
            <w:tcW w:w="709" w:type="dxa"/>
            <w:tcBorders>
              <w:top w:val="nil"/>
              <w:left w:val="single" w:color="000000" w:sz="4" w:space="0"/>
              <w:bottom w:val="single" w:color="000000" w:sz="4" w:space="0"/>
              <w:right w:val="single" w:color="000000" w:sz="8" w:space="0"/>
            </w:tcBorders>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w:t>
            </w:r>
          </w:p>
        </w:tc>
        <w:tc>
          <w:tcPr>
            <w:tcW w:w="851" w:type="dxa"/>
            <w:vMerge w:val="restart"/>
            <w:tcBorders>
              <w:top w:val="nil"/>
              <w:left w:val="single" w:color="000000" w:sz="4" w:space="0"/>
              <w:right w:val="single" w:color="000000" w:sz="4" w:space="0"/>
            </w:tcBorders>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lang w:eastAsia="zh-CN"/>
              </w:rPr>
              <w:t>四</w:t>
            </w:r>
            <w:r>
              <w:rPr>
                <w:rFonts w:hint="eastAsia" w:ascii="仿宋" w:hAnsi="仿宋" w:eastAsia="仿宋" w:cs="宋体"/>
                <w:szCs w:val="21"/>
                <w:highlight w:val="none"/>
              </w:rPr>
              <w:t>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tcBorders>
              <w:top w:val="nil"/>
              <w:left w:val="single" w:color="000000" w:sz="4" w:space="0"/>
              <w:bottom w:val="single" w:color="auto" w:sz="4" w:space="0"/>
              <w:right w:val="single" w:color="000000" w:sz="4" w:space="0"/>
            </w:tcBorders>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105590ma34</w:t>
            </w:r>
          </w:p>
        </w:tc>
        <w:tc>
          <w:tcPr>
            <w:tcW w:w="3402" w:type="dxa"/>
            <w:tcBorders>
              <w:top w:val="nil"/>
              <w:left w:val="nil"/>
              <w:bottom w:val="single" w:color="auto" w:sz="4" w:space="0"/>
              <w:right w:val="single" w:color="000000" w:sz="4" w:space="0"/>
            </w:tcBorders>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英语（学术论文写作）</w:t>
            </w:r>
          </w:p>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English</w:t>
            </w:r>
            <w:r>
              <w:rPr>
                <w:rFonts w:hint="default" w:ascii="仿宋" w:hAnsi="仿宋" w:eastAsia="仿宋" w:cs="宋体"/>
                <w:color w:val="000000" w:themeColor="text1"/>
                <w:szCs w:val="21"/>
                <w:highlight w:val="none"/>
                <w14:textFill>
                  <w14:solidFill>
                    <w14:schemeClr w14:val="tx1"/>
                  </w14:solidFill>
                </w14:textFill>
              </w:rPr>
              <w:t xml:space="preserve"> </w:t>
            </w:r>
            <w:r>
              <w:rPr>
                <w:rFonts w:hint="eastAsia" w:ascii="仿宋" w:hAnsi="仿宋" w:eastAsia="仿宋" w:cs="宋体"/>
                <w:color w:val="000000" w:themeColor="text1"/>
                <w:szCs w:val="21"/>
                <w:highlight w:val="none"/>
                <w14:textFill>
                  <w14:solidFill>
                    <w14:schemeClr w14:val="tx1"/>
                  </w14:solidFill>
                </w14:textFill>
              </w:rPr>
              <w:t>(Academic Writing)</w:t>
            </w:r>
          </w:p>
        </w:tc>
        <w:tc>
          <w:tcPr>
            <w:tcW w:w="567" w:type="dxa"/>
            <w:tcBorders>
              <w:top w:val="nil"/>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36</w:t>
            </w:r>
          </w:p>
        </w:tc>
        <w:tc>
          <w:tcPr>
            <w:tcW w:w="425" w:type="dxa"/>
            <w:tcBorders>
              <w:top w:val="nil"/>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tcBorders>
              <w:top w:val="nil"/>
              <w:left w:val="single" w:color="000000" w:sz="4" w:space="0"/>
              <w:bottom w:val="single" w:color="000000" w:sz="4" w:space="0"/>
              <w:right w:val="single" w:color="auto" w:sz="4" w:space="0"/>
            </w:tcBorders>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8" w:type="dxa"/>
            <w:tcBorders>
              <w:top w:val="nil"/>
              <w:left w:val="single" w:color="auto" w:sz="4" w:space="0"/>
              <w:bottom w:val="single" w:color="000000" w:sz="4" w:space="0"/>
              <w:right w:val="single" w:color="000000" w:sz="4" w:space="0"/>
            </w:tcBorders>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外国语学院</w:t>
            </w:r>
          </w:p>
        </w:tc>
        <w:tc>
          <w:tcPr>
            <w:tcW w:w="709" w:type="dxa"/>
            <w:tcBorders>
              <w:top w:val="nil"/>
              <w:left w:val="single" w:color="000000" w:sz="4" w:space="0"/>
              <w:bottom w:val="single" w:color="000000" w:sz="4" w:space="0"/>
              <w:right w:val="single" w:color="000000" w:sz="8" w:space="0"/>
            </w:tcBorders>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w:t>
            </w:r>
          </w:p>
        </w:tc>
        <w:tc>
          <w:tcPr>
            <w:tcW w:w="851" w:type="dxa"/>
            <w:vMerge w:val="continue"/>
            <w:tcBorders>
              <w:left w:val="single" w:color="000000" w:sz="4" w:space="0"/>
              <w:right w:val="single" w:color="000000" w:sz="4" w:space="0"/>
            </w:tcBorders>
            <w:vAlign w:val="center"/>
          </w:tcPr>
          <w:p>
            <w:pPr>
              <w:spacing w:line="240" w:lineRule="exact"/>
              <w:jc w:val="center"/>
              <w:rPr>
                <w:rFonts w:ascii="仿宋" w:hAnsi="仿宋" w:eastAsia="仿宋"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tcBorders>
              <w:top w:val="nil"/>
              <w:left w:val="single" w:color="000000" w:sz="4" w:space="0"/>
              <w:bottom w:val="single" w:color="auto" w:sz="4" w:space="0"/>
              <w:right w:val="single" w:color="000000" w:sz="4" w:space="0"/>
            </w:tcBorders>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105590ma35</w:t>
            </w:r>
          </w:p>
        </w:tc>
        <w:tc>
          <w:tcPr>
            <w:tcW w:w="3402" w:type="dxa"/>
            <w:tcBorders>
              <w:top w:val="nil"/>
              <w:left w:val="nil"/>
              <w:bottom w:val="single" w:color="auto" w:sz="4" w:space="0"/>
              <w:right w:val="single" w:color="000000" w:sz="4" w:space="0"/>
            </w:tcBorders>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英语（视听说）</w:t>
            </w:r>
          </w:p>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English</w:t>
            </w:r>
            <w:r>
              <w:rPr>
                <w:rFonts w:hint="default" w:ascii="仿宋" w:hAnsi="仿宋" w:eastAsia="仿宋" w:cs="宋体"/>
                <w:color w:val="000000" w:themeColor="text1"/>
                <w:szCs w:val="21"/>
                <w:highlight w:val="none"/>
                <w14:textFill>
                  <w14:solidFill>
                    <w14:schemeClr w14:val="tx1"/>
                  </w14:solidFill>
                </w14:textFill>
              </w:rPr>
              <w:t xml:space="preserve"> </w:t>
            </w:r>
            <w:r>
              <w:rPr>
                <w:rFonts w:hint="eastAsia" w:ascii="仿宋" w:hAnsi="仿宋" w:eastAsia="仿宋" w:cs="宋体"/>
                <w:color w:val="000000" w:themeColor="text1"/>
                <w:szCs w:val="21"/>
                <w:highlight w:val="none"/>
                <w14:textFill>
                  <w14:solidFill>
                    <w14:schemeClr w14:val="tx1"/>
                  </w14:solidFill>
                </w14:textFill>
              </w:rPr>
              <w:t>(Viewing, Listening </w:t>
            </w:r>
            <w:r>
              <w:rPr>
                <w:rFonts w:hint="default" w:ascii="仿宋" w:hAnsi="仿宋" w:eastAsia="仿宋" w:cs="宋体"/>
                <w:color w:val="000000" w:themeColor="text1"/>
                <w:szCs w:val="21"/>
                <w:highlight w:val="none"/>
                <w14:textFill>
                  <w14:solidFill>
                    <w14:schemeClr w14:val="tx1"/>
                  </w14:solidFill>
                </w14:textFill>
              </w:rPr>
              <w:t>&amp;</w:t>
            </w:r>
            <w:r>
              <w:rPr>
                <w:rFonts w:hint="eastAsia" w:ascii="仿宋" w:hAnsi="仿宋" w:eastAsia="仿宋" w:cs="宋体"/>
                <w:color w:val="000000" w:themeColor="text1"/>
                <w:szCs w:val="21"/>
                <w:highlight w:val="none"/>
                <w14:textFill>
                  <w14:solidFill>
                    <w14:schemeClr w14:val="tx1"/>
                  </w14:solidFill>
                </w14:textFill>
              </w:rPr>
              <w:t> Speaking)</w:t>
            </w:r>
          </w:p>
        </w:tc>
        <w:tc>
          <w:tcPr>
            <w:tcW w:w="567" w:type="dxa"/>
            <w:tcBorders>
              <w:top w:val="nil"/>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36</w:t>
            </w:r>
          </w:p>
        </w:tc>
        <w:tc>
          <w:tcPr>
            <w:tcW w:w="425" w:type="dxa"/>
            <w:tcBorders>
              <w:top w:val="nil"/>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tcBorders>
              <w:top w:val="nil"/>
              <w:left w:val="single" w:color="000000" w:sz="4" w:space="0"/>
              <w:bottom w:val="single" w:color="000000" w:sz="4" w:space="0"/>
              <w:right w:val="single" w:color="auto" w:sz="4" w:space="0"/>
            </w:tcBorders>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8" w:type="dxa"/>
            <w:tcBorders>
              <w:top w:val="nil"/>
              <w:left w:val="single" w:color="auto" w:sz="4" w:space="0"/>
              <w:bottom w:val="single" w:color="000000" w:sz="4" w:space="0"/>
              <w:right w:val="single" w:color="000000" w:sz="4" w:space="0"/>
            </w:tcBorders>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外国语学院</w:t>
            </w:r>
          </w:p>
        </w:tc>
        <w:tc>
          <w:tcPr>
            <w:tcW w:w="709" w:type="dxa"/>
            <w:tcBorders>
              <w:top w:val="nil"/>
              <w:left w:val="single" w:color="000000" w:sz="4" w:space="0"/>
              <w:bottom w:val="single" w:color="000000" w:sz="4" w:space="0"/>
              <w:right w:val="single" w:color="000000" w:sz="8" w:space="0"/>
            </w:tcBorders>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w:t>
            </w:r>
          </w:p>
        </w:tc>
        <w:tc>
          <w:tcPr>
            <w:tcW w:w="851" w:type="dxa"/>
            <w:vMerge w:val="continue"/>
            <w:tcBorders>
              <w:left w:val="single" w:color="000000" w:sz="4" w:space="0"/>
              <w:right w:val="single" w:color="000000" w:sz="4" w:space="0"/>
            </w:tcBorders>
            <w:vAlign w:val="center"/>
          </w:tcPr>
          <w:p>
            <w:pPr>
              <w:spacing w:line="240" w:lineRule="exact"/>
              <w:jc w:val="center"/>
              <w:rPr>
                <w:rFonts w:ascii="仿宋" w:hAnsi="仿宋" w:eastAsia="仿宋"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tcBorders>
              <w:top w:val="nil"/>
              <w:left w:val="single" w:color="000000" w:sz="4" w:space="0"/>
              <w:bottom w:val="single" w:color="auto" w:sz="4" w:space="0"/>
              <w:right w:val="single" w:color="000000" w:sz="4" w:space="0"/>
            </w:tcBorders>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105590ma36</w:t>
            </w:r>
          </w:p>
        </w:tc>
        <w:tc>
          <w:tcPr>
            <w:tcW w:w="3402" w:type="dxa"/>
            <w:tcBorders>
              <w:top w:val="nil"/>
              <w:left w:val="nil"/>
              <w:bottom w:val="single" w:color="auto" w:sz="4" w:space="0"/>
              <w:right w:val="single" w:color="000000" w:sz="4" w:space="0"/>
            </w:tcBorders>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bookmarkStart w:id="0" w:name="OLE_LINK2"/>
            <w:bookmarkStart w:id="1" w:name="OLE_LINK1"/>
            <w:r>
              <w:rPr>
                <w:rFonts w:hint="eastAsia" w:ascii="仿宋" w:hAnsi="仿宋" w:eastAsia="仿宋" w:cs="宋体"/>
                <w:color w:val="000000" w:themeColor="text1"/>
                <w:szCs w:val="21"/>
                <w:highlight w:val="none"/>
                <w14:textFill>
                  <w14:solidFill>
                    <w14:schemeClr w14:val="tx1"/>
                  </w14:solidFill>
                </w14:textFill>
              </w:rPr>
              <w:t>英语（读写译）</w:t>
            </w:r>
            <w:bookmarkEnd w:id="0"/>
            <w:bookmarkEnd w:id="1"/>
          </w:p>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English(Reading, Writing </w:t>
            </w:r>
            <w:r>
              <w:rPr>
                <w:rFonts w:hint="default" w:ascii="仿宋" w:hAnsi="仿宋" w:eastAsia="仿宋" w:cs="宋体"/>
                <w:color w:val="000000" w:themeColor="text1"/>
                <w:szCs w:val="21"/>
                <w:highlight w:val="none"/>
                <w14:textFill>
                  <w14:solidFill>
                    <w14:schemeClr w14:val="tx1"/>
                  </w14:solidFill>
                </w14:textFill>
              </w:rPr>
              <w:t>&amp;</w:t>
            </w:r>
            <w:r>
              <w:rPr>
                <w:rFonts w:hint="eastAsia" w:ascii="仿宋" w:hAnsi="仿宋" w:eastAsia="仿宋" w:cs="宋体"/>
                <w:color w:val="000000" w:themeColor="text1"/>
                <w:szCs w:val="21"/>
                <w:highlight w:val="none"/>
                <w14:textFill>
                  <w14:solidFill>
                    <w14:schemeClr w14:val="tx1"/>
                  </w14:solidFill>
                </w14:textFill>
              </w:rPr>
              <w:t> Translation)</w:t>
            </w:r>
          </w:p>
        </w:tc>
        <w:tc>
          <w:tcPr>
            <w:tcW w:w="567" w:type="dxa"/>
            <w:tcBorders>
              <w:top w:val="nil"/>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36</w:t>
            </w:r>
          </w:p>
        </w:tc>
        <w:tc>
          <w:tcPr>
            <w:tcW w:w="425" w:type="dxa"/>
            <w:tcBorders>
              <w:top w:val="nil"/>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tcBorders>
              <w:top w:val="nil"/>
              <w:left w:val="single" w:color="000000" w:sz="4" w:space="0"/>
              <w:bottom w:val="single" w:color="000000" w:sz="4" w:space="0"/>
              <w:right w:val="single" w:color="auto" w:sz="4" w:space="0"/>
            </w:tcBorders>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8" w:type="dxa"/>
            <w:tcBorders>
              <w:top w:val="nil"/>
              <w:left w:val="single" w:color="auto" w:sz="4" w:space="0"/>
              <w:bottom w:val="single" w:color="000000" w:sz="4" w:space="0"/>
              <w:right w:val="single" w:color="000000" w:sz="4" w:space="0"/>
            </w:tcBorders>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外国语学院</w:t>
            </w:r>
          </w:p>
        </w:tc>
        <w:tc>
          <w:tcPr>
            <w:tcW w:w="709" w:type="dxa"/>
            <w:tcBorders>
              <w:top w:val="nil"/>
              <w:left w:val="single" w:color="000000" w:sz="4" w:space="0"/>
              <w:bottom w:val="single" w:color="000000" w:sz="4" w:space="0"/>
              <w:right w:val="single" w:color="000000" w:sz="8" w:space="0"/>
            </w:tcBorders>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w:t>
            </w:r>
          </w:p>
        </w:tc>
        <w:tc>
          <w:tcPr>
            <w:tcW w:w="851" w:type="dxa"/>
            <w:vMerge w:val="continue"/>
            <w:tcBorders>
              <w:left w:val="single" w:color="000000" w:sz="4" w:space="0"/>
              <w:right w:val="single" w:color="000000" w:sz="4" w:space="0"/>
            </w:tcBorders>
            <w:vAlign w:val="center"/>
          </w:tcPr>
          <w:p>
            <w:pPr>
              <w:spacing w:line="240" w:lineRule="exact"/>
              <w:jc w:val="center"/>
              <w:rPr>
                <w:rFonts w:ascii="仿宋" w:hAnsi="仿宋" w:eastAsia="仿宋"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688" w:type="dxa"/>
            <w:vMerge w:val="continue"/>
            <w:vAlign w:val="center"/>
          </w:tcPr>
          <w:p>
            <w:pPr>
              <w:spacing w:line="240" w:lineRule="exact"/>
              <w:jc w:val="center"/>
              <w:rPr>
                <w:rFonts w:ascii="仿宋" w:hAnsi="仿宋" w:eastAsia="仿宋" w:cs="宋体"/>
                <w:szCs w:val="21"/>
                <w:highlight w:val="none"/>
              </w:rPr>
            </w:pPr>
            <w:bookmarkStart w:id="2" w:name="OLE_LINK3" w:colFirst="3" w:colLast="4"/>
          </w:p>
        </w:tc>
        <w:tc>
          <w:tcPr>
            <w:tcW w:w="1276"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105590ma32</w:t>
            </w:r>
          </w:p>
        </w:tc>
        <w:tc>
          <w:tcPr>
            <w:tcW w:w="3402"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中国特色社会主义理论与实践研究</w:t>
            </w:r>
          </w:p>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lang w:val="en-US" w:eastAsia="zh-Hans"/>
                <w14:textFill>
                  <w14:solidFill>
                    <w14:schemeClr w14:val="tx1"/>
                  </w14:solidFill>
                </w14:textFill>
              </w:rPr>
              <w:t>Research</w:t>
            </w:r>
            <w:r>
              <w:rPr>
                <w:rFonts w:hint="default" w:ascii="仿宋" w:hAnsi="仿宋" w:eastAsia="仿宋" w:cs="宋体"/>
                <w:color w:val="000000" w:themeColor="text1"/>
                <w:szCs w:val="21"/>
                <w:highlight w:val="none"/>
                <w:lang w:eastAsia="zh-Hans"/>
                <w14:textFill>
                  <w14:solidFill>
                    <w14:schemeClr w14:val="tx1"/>
                  </w14:solidFill>
                </w14:textFill>
              </w:rPr>
              <w:t xml:space="preserve"> </w:t>
            </w:r>
            <w:r>
              <w:rPr>
                <w:rFonts w:hint="eastAsia" w:ascii="仿宋" w:hAnsi="仿宋" w:eastAsia="仿宋" w:cs="宋体"/>
                <w:color w:val="000000" w:themeColor="text1"/>
                <w:szCs w:val="21"/>
                <w:highlight w:val="none"/>
                <w:lang w:val="en-US" w:eastAsia="zh-Hans"/>
                <w14:textFill>
                  <w14:solidFill>
                    <w14:schemeClr w14:val="tx1"/>
                  </w14:solidFill>
                </w14:textFill>
              </w:rPr>
              <w:t>on</w:t>
            </w:r>
            <w:r>
              <w:rPr>
                <w:rFonts w:hint="eastAsia" w:ascii="仿宋" w:hAnsi="仿宋" w:eastAsia="仿宋" w:cs="宋体"/>
                <w:color w:val="000000" w:themeColor="text1"/>
                <w:szCs w:val="21"/>
                <w:highlight w:val="none"/>
                <w14:textFill>
                  <w14:solidFill>
                    <w14:schemeClr w14:val="tx1"/>
                  </w14:solidFill>
                </w14:textFill>
              </w:rPr>
              <w:t xml:space="preserve"> </w:t>
            </w:r>
            <w:r>
              <w:rPr>
                <w:rFonts w:hint="eastAsia" w:ascii="仿宋" w:hAnsi="仿宋" w:eastAsia="仿宋" w:cs="宋体"/>
                <w:color w:val="000000" w:themeColor="text1"/>
                <w:szCs w:val="21"/>
                <w:highlight w:val="none"/>
                <w:lang w:val="en-US" w:eastAsia="zh-Hans"/>
                <w14:textFill>
                  <w14:solidFill>
                    <w14:schemeClr w14:val="tx1"/>
                  </w14:solidFill>
                </w14:textFill>
              </w:rPr>
              <w:t>the</w:t>
            </w:r>
            <w:r>
              <w:rPr>
                <w:rFonts w:hint="default" w:ascii="仿宋" w:hAnsi="仿宋" w:eastAsia="仿宋" w:cs="宋体"/>
                <w:color w:val="000000" w:themeColor="text1"/>
                <w:szCs w:val="21"/>
                <w:highlight w:val="none"/>
                <w:lang w:eastAsia="zh-Hans"/>
                <w14:textFill>
                  <w14:solidFill>
                    <w14:schemeClr w14:val="tx1"/>
                  </w14:solidFill>
                </w14:textFill>
              </w:rPr>
              <w:t xml:space="preserve"> </w:t>
            </w:r>
            <w:r>
              <w:rPr>
                <w:rFonts w:hint="eastAsia" w:ascii="仿宋" w:hAnsi="仿宋" w:eastAsia="仿宋" w:cs="宋体"/>
                <w:color w:val="000000" w:themeColor="text1"/>
                <w:szCs w:val="21"/>
                <w:highlight w:val="none"/>
                <w:lang w:val="en-US" w:eastAsia="zh-Hans"/>
                <w14:textFill>
                  <w14:solidFill>
                    <w14:schemeClr w14:val="tx1"/>
                  </w14:solidFill>
                </w14:textFill>
              </w:rPr>
              <w:t>Theory</w:t>
            </w:r>
            <w:r>
              <w:rPr>
                <w:rFonts w:hint="default" w:ascii="仿宋" w:hAnsi="仿宋" w:eastAsia="仿宋" w:cs="宋体"/>
                <w:color w:val="000000" w:themeColor="text1"/>
                <w:szCs w:val="21"/>
                <w:highlight w:val="none"/>
                <w:lang w:eastAsia="zh-Hans"/>
                <w14:textFill>
                  <w14:solidFill>
                    <w14:schemeClr w14:val="tx1"/>
                  </w14:solidFill>
                </w14:textFill>
              </w:rPr>
              <w:t xml:space="preserve"> and Practice of </w:t>
            </w:r>
            <w:r>
              <w:rPr>
                <w:rFonts w:hint="eastAsia" w:ascii="仿宋" w:hAnsi="仿宋" w:eastAsia="仿宋" w:cs="宋体"/>
                <w:color w:val="000000" w:themeColor="text1"/>
                <w:szCs w:val="21"/>
                <w:highlight w:val="none"/>
                <w14:textFill>
                  <w14:solidFill>
                    <w14:schemeClr w14:val="tx1"/>
                  </w14:solidFill>
                </w14:textFill>
              </w:rPr>
              <w:t>Socialism in Chin</w:t>
            </w:r>
            <w:r>
              <w:rPr>
                <w:rFonts w:hint="default" w:ascii="仿宋" w:hAnsi="仿宋" w:eastAsia="仿宋" w:cs="宋体"/>
                <w:color w:val="000000" w:themeColor="text1"/>
                <w:szCs w:val="21"/>
                <w:highlight w:val="none"/>
                <w14:textFill>
                  <w14:solidFill>
                    <w14:schemeClr w14:val="tx1"/>
                  </w14:solidFill>
                </w14:textFill>
              </w:rPr>
              <w:t>ese Characteristics</w:t>
            </w:r>
          </w:p>
        </w:tc>
        <w:tc>
          <w:tcPr>
            <w:tcW w:w="567"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36</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马克思主义学院</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各方向必选</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105590ma19</w:t>
            </w:r>
          </w:p>
        </w:tc>
        <w:tc>
          <w:tcPr>
            <w:tcW w:w="3402"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 xml:space="preserve">马克思主义与社会科学方法论Marxism and </w:t>
            </w:r>
            <w:r>
              <w:rPr>
                <w:rFonts w:hint="eastAsia" w:ascii="仿宋" w:hAnsi="仿宋" w:eastAsia="仿宋" w:cs="宋体"/>
                <w:color w:val="000000" w:themeColor="text1"/>
                <w:szCs w:val="21"/>
                <w:highlight w:val="none"/>
                <w:lang w:val="en-US" w:eastAsia="zh-Hans"/>
                <w14:textFill>
                  <w14:solidFill>
                    <w14:schemeClr w14:val="tx1"/>
                  </w14:solidFill>
                </w14:textFill>
              </w:rPr>
              <w:t>the</w:t>
            </w:r>
            <w:r>
              <w:rPr>
                <w:rFonts w:hint="default" w:ascii="仿宋" w:hAnsi="仿宋" w:eastAsia="仿宋" w:cs="宋体"/>
                <w:color w:val="000000" w:themeColor="text1"/>
                <w:szCs w:val="21"/>
                <w:highlight w:val="none"/>
                <w:lang w:eastAsia="zh-Hans"/>
                <w14:textFill>
                  <w14:solidFill>
                    <w14:schemeClr w14:val="tx1"/>
                  </w14:solidFill>
                </w14:textFill>
              </w:rPr>
              <w:t xml:space="preserve"> </w:t>
            </w:r>
            <w:r>
              <w:rPr>
                <w:rFonts w:hint="eastAsia" w:ascii="仿宋" w:hAnsi="仿宋" w:eastAsia="仿宋" w:cs="宋体"/>
                <w:color w:val="000000" w:themeColor="text1"/>
                <w:szCs w:val="21"/>
                <w:highlight w:val="none"/>
                <w14:textFill>
                  <w14:solidFill>
                    <w14:schemeClr w14:val="tx1"/>
                  </w14:solidFill>
                </w14:textFill>
              </w:rPr>
              <w:t>Methodology</w:t>
            </w:r>
            <w:r>
              <w:rPr>
                <w:rFonts w:hint="default" w:ascii="仿宋" w:hAnsi="仿宋" w:eastAsia="仿宋" w:cs="宋体"/>
                <w:color w:val="000000" w:themeColor="text1"/>
                <w:szCs w:val="21"/>
                <w:highlight w:val="none"/>
                <w14:textFill>
                  <w14:solidFill>
                    <w14:schemeClr w14:val="tx1"/>
                  </w14:solidFill>
                </w14:textFill>
              </w:rPr>
              <w:t xml:space="preserve"> of </w:t>
            </w:r>
            <w:r>
              <w:rPr>
                <w:rFonts w:hint="eastAsia" w:ascii="仿宋" w:hAnsi="仿宋" w:eastAsia="仿宋" w:cs="宋体"/>
                <w:color w:val="000000" w:themeColor="text1"/>
                <w:szCs w:val="21"/>
                <w:highlight w:val="none"/>
                <w14:textFill>
                  <w14:solidFill>
                    <w14:schemeClr w14:val="tx1"/>
                  </w14:solidFill>
                </w14:textFill>
              </w:rPr>
              <w:t xml:space="preserve">Social Science </w:t>
            </w:r>
          </w:p>
        </w:tc>
        <w:tc>
          <w:tcPr>
            <w:tcW w:w="567"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18</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1</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马克思主义学院</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各方向必选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88" w:type="dxa"/>
            <w:vMerge w:val="restart"/>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专</w:t>
            </w:r>
          </w:p>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业</w:t>
            </w:r>
          </w:p>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学</w:t>
            </w:r>
          </w:p>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位</w:t>
            </w:r>
          </w:p>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课</w:t>
            </w:r>
          </w:p>
          <w:p>
            <w:pPr>
              <w:spacing w:line="240" w:lineRule="exact"/>
              <w:jc w:val="center"/>
              <w:rPr>
                <w:rFonts w:ascii="仿宋" w:hAnsi="仿宋" w:eastAsia="仿宋" w:cs="宋体"/>
                <w:szCs w:val="21"/>
                <w:highlight w:val="none"/>
              </w:rPr>
            </w:pPr>
          </w:p>
        </w:tc>
        <w:tc>
          <w:tcPr>
            <w:tcW w:w="1276"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050300mb07</w:t>
            </w:r>
          </w:p>
        </w:tc>
        <w:tc>
          <w:tcPr>
            <w:tcW w:w="3402"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新闻传播史研究</w:t>
            </w:r>
          </w:p>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Study on the History of Journalism and Communication</w:t>
            </w:r>
          </w:p>
        </w:tc>
        <w:tc>
          <w:tcPr>
            <w:tcW w:w="567" w:type="dxa"/>
            <w:vAlign w:val="center"/>
          </w:tcPr>
          <w:p>
            <w:pPr>
              <w:spacing w:line="240" w:lineRule="exact"/>
              <w:jc w:val="center"/>
              <w:rPr>
                <w:rFonts w:hint="default" w:ascii="仿宋" w:hAnsi="仿宋" w:eastAsia="仿宋" w:cs="宋体"/>
                <w:szCs w:val="21"/>
                <w:highlight w:val="none"/>
                <w:lang w:val="en-US" w:eastAsia="zh-CN"/>
              </w:rPr>
            </w:pPr>
            <w:r>
              <w:rPr>
                <w:rFonts w:hint="eastAsia" w:ascii="仿宋" w:hAnsi="仿宋" w:eastAsia="仿宋" w:cs="宋体"/>
                <w:szCs w:val="21"/>
                <w:highlight w:val="none"/>
                <w:lang w:val="en-US" w:eastAsia="zh-CN"/>
              </w:rPr>
              <w:t>40</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3</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本单位</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考试或考查</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各方向必选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050300mb04</w:t>
            </w:r>
          </w:p>
        </w:tc>
        <w:tc>
          <w:tcPr>
            <w:tcW w:w="3402"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新闻传播理论研究</w:t>
            </w:r>
          </w:p>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Study on Theories of Journalism and Communication</w:t>
            </w:r>
          </w:p>
        </w:tc>
        <w:tc>
          <w:tcPr>
            <w:tcW w:w="567" w:type="dxa"/>
            <w:vAlign w:val="center"/>
          </w:tcPr>
          <w:p>
            <w:pPr>
              <w:spacing w:line="240" w:lineRule="exact"/>
              <w:jc w:val="center"/>
              <w:rPr>
                <w:rFonts w:hint="default" w:ascii="仿宋" w:hAnsi="仿宋" w:eastAsia="仿宋" w:cs="宋体"/>
                <w:szCs w:val="21"/>
                <w:highlight w:val="none"/>
                <w:lang w:val="en-US" w:eastAsia="zh-CN"/>
              </w:rPr>
            </w:pPr>
            <w:r>
              <w:rPr>
                <w:rFonts w:hint="eastAsia" w:ascii="仿宋" w:hAnsi="仿宋" w:eastAsia="仿宋" w:cs="宋体"/>
                <w:szCs w:val="21"/>
                <w:highlight w:val="none"/>
                <w:lang w:val="en-US" w:eastAsia="zh-CN"/>
              </w:rPr>
              <w:t>40</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1</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本单位</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考试或考查</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各方向必选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050300mb05</w:t>
            </w:r>
          </w:p>
        </w:tc>
        <w:tc>
          <w:tcPr>
            <w:tcW w:w="3402"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量化研究方法</w:t>
            </w:r>
          </w:p>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Quantitative Research Method</w:t>
            </w:r>
          </w:p>
        </w:tc>
        <w:tc>
          <w:tcPr>
            <w:tcW w:w="567" w:type="dxa"/>
            <w:vAlign w:val="center"/>
          </w:tcPr>
          <w:p>
            <w:pPr>
              <w:spacing w:line="240" w:lineRule="exact"/>
              <w:jc w:val="center"/>
              <w:rPr>
                <w:rFonts w:hint="default" w:ascii="仿宋" w:hAnsi="仿宋" w:eastAsia="仿宋" w:cs="宋体"/>
                <w:szCs w:val="21"/>
                <w:highlight w:val="none"/>
                <w:lang w:val="en-US" w:eastAsia="zh-CN"/>
              </w:rPr>
            </w:pPr>
            <w:r>
              <w:rPr>
                <w:rFonts w:hint="eastAsia" w:ascii="仿宋" w:hAnsi="仿宋" w:eastAsia="仿宋" w:cs="宋体"/>
                <w:szCs w:val="21"/>
                <w:highlight w:val="none"/>
                <w:lang w:val="en-US" w:eastAsia="zh-CN"/>
              </w:rPr>
              <w:t>40</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1</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本单位</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考试或考查</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各方向必选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050300mb06</w:t>
            </w:r>
          </w:p>
        </w:tc>
        <w:tc>
          <w:tcPr>
            <w:tcW w:w="3402"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质化研究方法</w:t>
            </w:r>
          </w:p>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Qualitative Research Method</w:t>
            </w:r>
          </w:p>
        </w:tc>
        <w:tc>
          <w:tcPr>
            <w:tcW w:w="567" w:type="dxa"/>
            <w:vAlign w:val="center"/>
          </w:tcPr>
          <w:p>
            <w:pPr>
              <w:spacing w:line="240" w:lineRule="exact"/>
              <w:jc w:val="center"/>
              <w:rPr>
                <w:rFonts w:hint="default" w:ascii="仿宋" w:hAnsi="仿宋" w:eastAsia="仿宋" w:cs="宋体"/>
                <w:szCs w:val="21"/>
                <w:highlight w:val="none"/>
                <w:lang w:val="en-US" w:eastAsia="zh-CN"/>
              </w:rPr>
            </w:pPr>
            <w:r>
              <w:rPr>
                <w:rFonts w:hint="eastAsia" w:ascii="仿宋" w:hAnsi="仿宋" w:eastAsia="仿宋" w:cs="宋体"/>
                <w:szCs w:val="21"/>
                <w:highlight w:val="none"/>
                <w:lang w:val="en-US" w:eastAsia="zh-CN"/>
              </w:rPr>
              <w:t>40</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3</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本单位</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考试或考查</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各方向必选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88" w:type="dxa"/>
            <w:vMerge w:val="restart"/>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非</w:t>
            </w:r>
          </w:p>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学</w:t>
            </w:r>
          </w:p>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位</w:t>
            </w:r>
          </w:p>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课</w:t>
            </w:r>
          </w:p>
        </w:tc>
        <w:tc>
          <w:tcPr>
            <w:tcW w:w="1276"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050301md01</w:t>
            </w:r>
          </w:p>
        </w:tc>
        <w:tc>
          <w:tcPr>
            <w:tcW w:w="3402"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学科前沿讲座</w:t>
            </w:r>
          </w:p>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Lectures on the Academic Frontiers</w:t>
            </w:r>
          </w:p>
        </w:tc>
        <w:tc>
          <w:tcPr>
            <w:tcW w:w="567"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30</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1</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1-3</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本单位</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学习</w:t>
            </w:r>
          </w:p>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报告</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各方向必选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88" w:type="dxa"/>
            <w:vMerge w:val="continue"/>
            <w:vAlign w:val="center"/>
          </w:tcPr>
          <w:p>
            <w:pPr>
              <w:spacing w:line="240" w:lineRule="exact"/>
              <w:jc w:val="center"/>
              <w:rPr>
                <w:rFonts w:ascii="仿宋" w:hAnsi="仿宋" w:eastAsia="仿宋" w:cs="宋体"/>
                <w:szCs w:val="21"/>
                <w:highlight w:val="none"/>
              </w:rPr>
            </w:pPr>
            <w:bookmarkStart w:id="3" w:name="OLE_LINK6" w:colFirst="6" w:colLast="6"/>
          </w:p>
        </w:tc>
        <w:tc>
          <w:tcPr>
            <w:tcW w:w="1276"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050300md02</w:t>
            </w:r>
          </w:p>
        </w:tc>
        <w:tc>
          <w:tcPr>
            <w:tcW w:w="3402"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马克思主义新闻观</w:t>
            </w:r>
          </w:p>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 xml:space="preserve">Marxist </w:t>
            </w:r>
            <w:r>
              <w:rPr>
                <w:rFonts w:hint="eastAsia" w:ascii="仿宋" w:hAnsi="仿宋" w:eastAsia="仿宋" w:cs="宋体"/>
                <w:color w:val="000000" w:themeColor="text1"/>
                <w:szCs w:val="21"/>
                <w:highlight w:val="none"/>
                <w:lang w:val="en-US" w:eastAsia="zh-Hans"/>
                <w14:textFill>
                  <w14:solidFill>
                    <w14:schemeClr w14:val="tx1"/>
                  </w14:solidFill>
                </w14:textFill>
              </w:rPr>
              <w:t>View</w:t>
            </w:r>
            <w:r>
              <w:rPr>
                <w:rFonts w:hint="eastAsia" w:ascii="仿宋" w:hAnsi="仿宋" w:eastAsia="仿宋" w:cs="宋体"/>
                <w:color w:val="000000" w:themeColor="text1"/>
                <w:szCs w:val="21"/>
                <w:highlight w:val="none"/>
                <w14:textFill>
                  <w14:solidFill>
                    <w14:schemeClr w14:val="tx1"/>
                  </w14:solidFill>
                </w14:textFill>
              </w:rPr>
              <w:t xml:space="preserve"> of Journalism</w:t>
            </w:r>
          </w:p>
        </w:tc>
        <w:tc>
          <w:tcPr>
            <w:tcW w:w="567" w:type="dxa"/>
            <w:vAlign w:val="center"/>
          </w:tcPr>
          <w:p>
            <w:pPr>
              <w:spacing w:line="240" w:lineRule="exact"/>
              <w:jc w:val="center"/>
              <w:rPr>
                <w:rFonts w:hint="default" w:ascii="仿宋" w:hAnsi="仿宋" w:eastAsia="仿宋" w:cs="宋体"/>
                <w:szCs w:val="21"/>
                <w:highlight w:val="none"/>
                <w:lang w:val="en-US" w:eastAsia="zh-CN"/>
              </w:rPr>
            </w:pPr>
            <w:r>
              <w:rPr>
                <w:rFonts w:hint="eastAsia" w:ascii="仿宋" w:hAnsi="仿宋" w:eastAsia="仿宋" w:cs="宋体"/>
                <w:szCs w:val="21"/>
                <w:highlight w:val="none"/>
                <w:lang w:val="en-US" w:eastAsia="zh-CN"/>
              </w:rPr>
              <w:t>20</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1</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本单位</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考试或考查</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各方向必选</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055300mc19</w:t>
            </w:r>
          </w:p>
        </w:tc>
        <w:tc>
          <w:tcPr>
            <w:tcW w:w="3402"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论文写作与学术规范</w:t>
            </w:r>
          </w:p>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Essay Writing and Academic Discipline</w:t>
            </w:r>
          </w:p>
        </w:tc>
        <w:tc>
          <w:tcPr>
            <w:tcW w:w="567"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lang w:val="en-US" w:eastAsia="zh-CN"/>
              </w:rPr>
              <w:t>20</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1</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本单位</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考试或考查</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各方向必选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050301mc39</w:t>
            </w:r>
          </w:p>
        </w:tc>
        <w:tc>
          <w:tcPr>
            <w:tcW w:w="3402"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融合新闻报道</w:t>
            </w:r>
          </w:p>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Convergent News Reporting</w:t>
            </w:r>
          </w:p>
        </w:tc>
        <w:tc>
          <w:tcPr>
            <w:tcW w:w="567"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lang w:val="en-US" w:eastAsia="zh-CN"/>
              </w:rPr>
              <w:t>40</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1</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本单位</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考试或考查</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方向1</w:t>
            </w:r>
            <w:bookmarkStart w:id="4" w:name="OLE_LINK4"/>
            <w:r>
              <w:rPr>
                <w:rFonts w:hint="eastAsia" w:ascii="仿宋" w:hAnsi="仿宋" w:eastAsia="仿宋" w:cs="宋体"/>
                <w:szCs w:val="21"/>
                <w:highlight w:val="none"/>
              </w:rPr>
              <w:t>必选</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050302mc13</w:t>
            </w:r>
          </w:p>
        </w:tc>
        <w:tc>
          <w:tcPr>
            <w:tcW w:w="3402"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网络与新媒体研究</w:t>
            </w:r>
          </w:p>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Study on Internet and New Media</w:t>
            </w:r>
          </w:p>
        </w:tc>
        <w:tc>
          <w:tcPr>
            <w:tcW w:w="567"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lang w:val="en-US" w:eastAsia="zh-CN"/>
              </w:rPr>
              <w:t>40</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1</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本单位</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考试或考查</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方向2必选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050302mc02</w:t>
            </w:r>
          </w:p>
        </w:tc>
        <w:tc>
          <w:tcPr>
            <w:tcW w:w="3402"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国际传播研究</w:t>
            </w:r>
          </w:p>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Study on International Communication</w:t>
            </w:r>
          </w:p>
        </w:tc>
        <w:tc>
          <w:tcPr>
            <w:tcW w:w="567"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lang w:val="en-US" w:eastAsia="zh-CN"/>
              </w:rPr>
              <w:t>40</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1</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本单位</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考试或考查</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方向3必选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050301mc51</w:t>
            </w:r>
          </w:p>
        </w:tc>
        <w:tc>
          <w:tcPr>
            <w:tcW w:w="3402"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传媒法与新闻伦理</w:t>
            </w:r>
          </w:p>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 xml:space="preserve">Media </w:t>
            </w:r>
            <w:r>
              <w:rPr>
                <w:rFonts w:hint="default" w:ascii="仿宋" w:hAnsi="仿宋" w:eastAsia="仿宋" w:cs="宋体"/>
                <w:color w:val="000000" w:themeColor="text1"/>
                <w:szCs w:val="21"/>
                <w:highlight w:val="none"/>
                <w14:textFill>
                  <w14:solidFill>
                    <w14:schemeClr w14:val="tx1"/>
                  </w14:solidFill>
                </w14:textFill>
              </w:rPr>
              <w:t>Law</w:t>
            </w:r>
            <w:r>
              <w:rPr>
                <w:rFonts w:hint="eastAsia" w:ascii="仿宋" w:hAnsi="仿宋" w:eastAsia="仿宋" w:cs="宋体"/>
                <w:color w:val="000000" w:themeColor="text1"/>
                <w:szCs w:val="21"/>
                <w:highlight w:val="none"/>
                <w14:textFill>
                  <w14:solidFill>
                    <w14:schemeClr w14:val="tx1"/>
                  </w14:solidFill>
                </w14:textFill>
              </w:rPr>
              <w:t xml:space="preserve"> </w:t>
            </w:r>
            <w:r>
              <w:rPr>
                <w:rFonts w:hint="default" w:ascii="仿宋" w:hAnsi="仿宋" w:eastAsia="仿宋" w:cs="宋体"/>
                <w:color w:val="000000" w:themeColor="text1"/>
                <w:szCs w:val="21"/>
                <w:highlight w:val="none"/>
                <w14:textFill>
                  <w14:solidFill>
                    <w14:schemeClr w14:val="tx1"/>
                  </w14:solidFill>
                </w14:textFill>
              </w:rPr>
              <w:t>&amp;</w:t>
            </w:r>
            <w:r>
              <w:rPr>
                <w:rFonts w:hint="eastAsia" w:ascii="仿宋" w:hAnsi="仿宋" w:eastAsia="仿宋" w:cs="宋体"/>
                <w:color w:val="000000" w:themeColor="text1"/>
                <w:szCs w:val="21"/>
                <w:highlight w:val="none"/>
                <w14:textFill>
                  <w14:solidFill>
                    <w14:schemeClr w14:val="tx1"/>
                  </w14:solidFill>
                </w14:textFill>
              </w:rPr>
              <w:t xml:space="preserve"> </w:t>
            </w:r>
            <w:r>
              <w:rPr>
                <w:rFonts w:hint="default" w:ascii="仿宋" w:hAnsi="仿宋" w:eastAsia="仿宋" w:cs="宋体"/>
                <w:color w:val="000000" w:themeColor="text1"/>
                <w:szCs w:val="21"/>
                <w:highlight w:val="none"/>
                <w14:textFill>
                  <w14:solidFill>
                    <w14:schemeClr w14:val="tx1"/>
                  </w14:solidFill>
                </w14:textFill>
              </w:rPr>
              <w:t>t</w:t>
            </w:r>
            <w:r>
              <w:rPr>
                <w:rFonts w:hint="eastAsia" w:ascii="仿宋" w:hAnsi="仿宋" w:eastAsia="仿宋" w:cs="宋体"/>
                <w:color w:val="000000" w:themeColor="text1"/>
                <w:szCs w:val="21"/>
                <w:highlight w:val="none"/>
                <w14:textFill>
                  <w14:solidFill>
                    <w14:schemeClr w14:val="tx1"/>
                  </w14:solidFill>
                </w14:textFill>
              </w:rPr>
              <w:t>he Ethics of Journalism</w:t>
            </w:r>
          </w:p>
        </w:tc>
        <w:tc>
          <w:tcPr>
            <w:tcW w:w="567"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lang w:val="en-US" w:eastAsia="zh-CN"/>
              </w:rPr>
              <w:t>40</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本单位</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考试或考查</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各方向选修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050301mc32</w:t>
            </w:r>
          </w:p>
        </w:tc>
        <w:tc>
          <w:tcPr>
            <w:tcW w:w="3402"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海外华文传媒研究</w:t>
            </w:r>
          </w:p>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Study on Overseas Chinese Media</w:t>
            </w:r>
          </w:p>
        </w:tc>
        <w:tc>
          <w:tcPr>
            <w:tcW w:w="567"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lang w:val="en-US" w:eastAsia="zh-CN"/>
              </w:rPr>
              <w:t>40</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1</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本单位</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考试或考查</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各方向选修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050301mc42</w:t>
            </w:r>
          </w:p>
        </w:tc>
        <w:tc>
          <w:tcPr>
            <w:tcW w:w="3402"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媒介文化研究</w:t>
            </w:r>
          </w:p>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Media Culture</w:t>
            </w:r>
            <w:r>
              <w:rPr>
                <w:rFonts w:hint="default" w:ascii="仿宋" w:hAnsi="仿宋" w:eastAsia="仿宋" w:cs="宋体"/>
                <w:color w:val="000000" w:themeColor="text1"/>
                <w:szCs w:val="21"/>
                <w:highlight w:val="none"/>
                <w14:textFill>
                  <w14:solidFill>
                    <w14:schemeClr w14:val="tx1"/>
                  </w14:solidFill>
                </w14:textFill>
              </w:rPr>
              <w:t xml:space="preserve"> </w:t>
            </w:r>
            <w:r>
              <w:rPr>
                <w:rFonts w:hint="eastAsia" w:ascii="仿宋" w:hAnsi="仿宋" w:eastAsia="仿宋" w:cs="宋体"/>
                <w:color w:val="000000" w:themeColor="text1"/>
                <w:szCs w:val="21"/>
                <w:highlight w:val="none"/>
                <w14:textFill>
                  <w14:solidFill>
                    <w14:schemeClr w14:val="tx1"/>
                  </w14:solidFill>
                </w14:textFill>
              </w:rPr>
              <w:t>Stud</w:t>
            </w:r>
            <w:r>
              <w:rPr>
                <w:rFonts w:hint="eastAsia" w:ascii="仿宋" w:hAnsi="仿宋" w:eastAsia="仿宋" w:cs="宋体"/>
                <w:color w:val="000000" w:themeColor="text1"/>
                <w:szCs w:val="21"/>
                <w:highlight w:val="none"/>
                <w:lang w:val="en-US" w:eastAsia="zh-Hans"/>
                <w14:textFill>
                  <w14:solidFill>
                    <w14:schemeClr w14:val="tx1"/>
                  </w14:solidFill>
                </w14:textFill>
              </w:rPr>
              <w:t>ies</w:t>
            </w:r>
          </w:p>
        </w:tc>
        <w:tc>
          <w:tcPr>
            <w:tcW w:w="567"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lang w:val="en-US" w:eastAsia="zh-CN"/>
              </w:rPr>
              <w:t>40</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1</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本单位</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考试或考查</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各方向选修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050302mc43</w:t>
            </w:r>
          </w:p>
        </w:tc>
        <w:tc>
          <w:tcPr>
            <w:tcW w:w="3402"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传播符号学</w:t>
            </w:r>
          </w:p>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Semiotics</w:t>
            </w:r>
            <w:r>
              <w:rPr>
                <w:rFonts w:hint="default" w:ascii="仿宋" w:hAnsi="仿宋" w:eastAsia="仿宋" w:cs="宋体"/>
                <w:color w:val="000000" w:themeColor="text1"/>
                <w:szCs w:val="21"/>
                <w:highlight w:val="none"/>
                <w14:textFill>
                  <w14:solidFill>
                    <w14:schemeClr w14:val="tx1"/>
                  </w14:solidFill>
                </w14:textFill>
              </w:rPr>
              <w:t xml:space="preserve"> &amp; </w:t>
            </w:r>
            <w:r>
              <w:rPr>
                <w:rFonts w:hint="eastAsia" w:ascii="仿宋" w:hAnsi="仿宋" w:eastAsia="仿宋" w:cs="宋体"/>
                <w:color w:val="000000" w:themeColor="text1"/>
                <w:szCs w:val="21"/>
                <w:highlight w:val="none"/>
                <w14:textFill>
                  <w14:solidFill>
                    <w14:schemeClr w14:val="tx1"/>
                  </w14:solidFill>
                </w14:textFill>
              </w:rPr>
              <w:t>Communication</w:t>
            </w:r>
          </w:p>
        </w:tc>
        <w:tc>
          <w:tcPr>
            <w:tcW w:w="567"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lang w:val="en-US" w:eastAsia="zh-CN"/>
              </w:rPr>
              <w:t>40</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本单位</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考试或考查</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各方向选修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050300dc11</w:t>
            </w:r>
          </w:p>
        </w:tc>
        <w:tc>
          <w:tcPr>
            <w:tcW w:w="3402"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视听传播研究</w:t>
            </w:r>
          </w:p>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Study on Audio</w:t>
            </w:r>
            <w:r>
              <w:rPr>
                <w:rFonts w:hint="default" w:ascii="仿宋" w:hAnsi="仿宋" w:eastAsia="仿宋" w:cs="宋体"/>
                <w:color w:val="000000" w:themeColor="text1"/>
                <w:szCs w:val="21"/>
                <w:highlight w:val="none"/>
                <w14:textFill>
                  <w14:solidFill>
                    <w14:schemeClr w14:val="tx1"/>
                  </w14:solidFill>
                </w14:textFill>
              </w:rPr>
              <w:t>-</w:t>
            </w:r>
            <w:r>
              <w:rPr>
                <w:rFonts w:hint="eastAsia" w:ascii="仿宋" w:hAnsi="仿宋" w:eastAsia="仿宋" w:cs="宋体"/>
                <w:color w:val="000000" w:themeColor="text1"/>
                <w:szCs w:val="21"/>
                <w:highlight w:val="none"/>
                <w14:textFill>
                  <w14:solidFill>
                    <w14:schemeClr w14:val="tx1"/>
                  </w14:solidFill>
                </w14:textFill>
              </w:rPr>
              <w:t>visual Communication</w:t>
            </w:r>
          </w:p>
        </w:tc>
        <w:tc>
          <w:tcPr>
            <w:tcW w:w="567"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lang w:val="en-US" w:eastAsia="zh-CN"/>
              </w:rPr>
              <w:t>40</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1</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本单位</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考试或考查</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各方向选修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050300dc19</w:t>
            </w:r>
          </w:p>
        </w:tc>
        <w:tc>
          <w:tcPr>
            <w:tcW w:w="3402"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lang w:eastAsia="zh-CN"/>
                <w14:textFill>
                  <w14:solidFill>
                    <w14:schemeClr w14:val="tx1"/>
                  </w14:solidFill>
                </w14:textFill>
              </w:rPr>
              <w:t>新疆</w:t>
            </w:r>
            <w:r>
              <w:rPr>
                <w:rFonts w:hint="eastAsia" w:ascii="仿宋" w:hAnsi="仿宋" w:eastAsia="仿宋" w:cs="宋体"/>
                <w:color w:val="000000" w:themeColor="text1"/>
                <w:szCs w:val="21"/>
                <w:highlight w:val="none"/>
                <w14:textFill>
                  <w14:solidFill>
                    <w14:schemeClr w14:val="tx1"/>
                  </w14:solidFill>
                </w14:textFill>
              </w:rPr>
              <w:t>研究</w:t>
            </w:r>
          </w:p>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Xinjiang Studies</w:t>
            </w:r>
          </w:p>
        </w:tc>
        <w:tc>
          <w:tcPr>
            <w:tcW w:w="567" w:type="dxa"/>
            <w:vAlign w:val="center"/>
          </w:tcPr>
          <w:p>
            <w:pPr>
              <w:adjustRightInd w:val="0"/>
              <w:snapToGrid w:val="0"/>
              <w:spacing w:line="240" w:lineRule="exact"/>
              <w:jc w:val="center"/>
              <w:rPr>
                <w:rFonts w:ascii="仿宋" w:hAnsi="仿宋" w:eastAsia="仿宋" w:cs="宋体"/>
                <w:szCs w:val="21"/>
                <w:highlight w:val="none"/>
              </w:rPr>
            </w:pPr>
            <w:r>
              <w:rPr>
                <w:rFonts w:hint="eastAsia" w:ascii="仿宋" w:hAnsi="仿宋" w:eastAsia="仿宋"/>
                <w:color w:val="000000" w:themeColor="text1"/>
                <w:szCs w:val="21"/>
                <w:highlight w:val="none"/>
                <w:lang w:val="en-US" w:eastAsia="zh-CN"/>
                <w14:textFill>
                  <w14:solidFill>
                    <w14:schemeClr w14:val="tx1"/>
                  </w14:solidFill>
                </w14:textFill>
              </w:rPr>
              <w:t>40</w:t>
            </w:r>
          </w:p>
        </w:tc>
        <w:tc>
          <w:tcPr>
            <w:tcW w:w="425" w:type="dxa"/>
            <w:vAlign w:val="center"/>
          </w:tcPr>
          <w:p>
            <w:pPr>
              <w:adjustRightInd w:val="0"/>
              <w:snapToGrid w:val="0"/>
              <w:spacing w:line="240" w:lineRule="exact"/>
              <w:jc w:val="center"/>
              <w:rPr>
                <w:rFonts w:ascii="仿宋" w:hAnsi="仿宋" w:eastAsia="仿宋" w:cs="宋体"/>
                <w:szCs w:val="21"/>
                <w:highlight w:val="none"/>
              </w:rPr>
            </w:pPr>
            <w:r>
              <w:rPr>
                <w:rFonts w:hint="eastAsia" w:ascii="仿宋" w:hAnsi="仿宋" w:eastAsia="仿宋"/>
                <w:szCs w:val="21"/>
                <w:highlight w:val="none"/>
              </w:rPr>
              <w:t>2</w:t>
            </w:r>
          </w:p>
        </w:tc>
        <w:tc>
          <w:tcPr>
            <w:tcW w:w="709" w:type="dxa"/>
            <w:vAlign w:val="center"/>
          </w:tcPr>
          <w:p>
            <w:pPr>
              <w:spacing w:line="320" w:lineRule="exact"/>
              <w:jc w:val="center"/>
              <w:rPr>
                <w:rFonts w:ascii="仿宋" w:hAnsi="仿宋" w:eastAsia="仿宋" w:cs="宋体"/>
                <w:szCs w:val="21"/>
                <w:highlight w:val="none"/>
              </w:rPr>
            </w:pPr>
            <w:r>
              <w:rPr>
                <w:rFonts w:hint="eastAsia" w:ascii="仿宋" w:hAnsi="仿宋" w:eastAsia="仿宋"/>
                <w:szCs w:val="21"/>
                <w:highlight w:val="none"/>
              </w:rPr>
              <w:t>1</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本单位</w:t>
            </w:r>
          </w:p>
        </w:tc>
        <w:tc>
          <w:tcPr>
            <w:tcW w:w="709" w:type="dxa"/>
            <w:vAlign w:val="center"/>
          </w:tcPr>
          <w:p>
            <w:pPr>
              <w:adjustRightInd w:val="0"/>
              <w:snapToGrid w:val="0"/>
              <w:spacing w:line="240" w:lineRule="exact"/>
              <w:jc w:val="center"/>
              <w:rPr>
                <w:rFonts w:ascii="仿宋" w:hAnsi="仿宋" w:eastAsia="仿宋" w:cs="宋体"/>
                <w:szCs w:val="21"/>
                <w:highlight w:val="none"/>
              </w:rPr>
            </w:pPr>
            <w:r>
              <w:rPr>
                <w:rFonts w:hint="eastAsia" w:ascii="仿宋" w:hAnsi="仿宋" w:eastAsia="仿宋"/>
                <w:szCs w:val="21"/>
                <w:highlight w:val="none"/>
              </w:rPr>
              <w:t>考试或考察</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各方向选修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050300mc08</w:t>
            </w:r>
          </w:p>
        </w:tc>
        <w:tc>
          <w:tcPr>
            <w:tcW w:w="3402"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健康传播理论与实践</w:t>
            </w:r>
          </w:p>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Health Communication Theories and Practices</w:t>
            </w:r>
          </w:p>
        </w:tc>
        <w:tc>
          <w:tcPr>
            <w:tcW w:w="567"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lang w:val="en-US" w:eastAsia="zh-CN"/>
              </w:rPr>
              <w:t>40</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本单位</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考试或考查</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各方向选修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050302mc32</w:t>
            </w:r>
          </w:p>
        </w:tc>
        <w:tc>
          <w:tcPr>
            <w:tcW w:w="3402"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风险沟通</w:t>
            </w:r>
          </w:p>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Risk Communication</w:t>
            </w:r>
          </w:p>
        </w:tc>
        <w:tc>
          <w:tcPr>
            <w:tcW w:w="567"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lang w:val="en-US" w:eastAsia="zh-CN"/>
              </w:rPr>
              <w:t>40</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1</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本单位</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考试或考查</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各方向选修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050302mc34</w:t>
            </w:r>
          </w:p>
        </w:tc>
        <w:tc>
          <w:tcPr>
            <w:tcW w:w="3402"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数据挖据与可视化</w:t>
            </w:r>
          </w:p>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Data Mining and Visualization</w:t>
            </w:r>
          </w:p>
        </w:tc>
        <w:tc>
          <w:tcPr>
            <w:tcW w:w="567"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lang w:val="en-US" w:eastAsia="zh-CN"/>
              </w:rPr>
              <w:t>40</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本单位</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考试或考查</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各方向选修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0503Z1mc09</w:t>
            </w:r>
          </w:p>
        </w:tc>
        <w:tc>
          <w:tcPr>
            <w:tcW w:w="3402"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营销传播理论研究</w:t>
            </w:r>
          </w:p>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Study on Marketing Communication Theories</w:t>
            </w:r>
          </w:p>
        </w:tc>
        <w:tc>
          <w:tcPr>
            <w:tcW w:w="567"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lang w:val="en-US" w:eastAsia="zh-CN"/>
              </w:rPr>
              <w:t>40</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1</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本单位</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考试或考查</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各方向选修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0503z1mc05</w:t>
            </w:r>
          </w:p>
        </w:tc>
        <w:tc>
          <w:tcPr>
            <w:tcW w:w="3402"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数字营销传播研究</w:t>
            </w:r>
          </w:p>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Study on Digital Marketing Communication</w:t>
            </w:r>
          </w:p>
        </w:tc>
        <w:tc>
          <w:tcPr>
            <w:tcW w:w="567"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lang w:val="en-US" w:eastAsia="zh-CN"/>
              </w:rPr>
              <w:t>40</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本单位</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考试或考查</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各方向选修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120202mc22</w:t>
            </w:r>
          </w:p>
        </w:tc>
        <w:tc>
          <w:tcPr>
            <w:tcW w:w="3402"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消费者行为学</w:t>
            </w:r>
          </w:p>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Consumer Behavior</w:t>
            </w:r>
          </w:p>
        </w:tc>
        <w:tc>
          <w:tcPr>
            <w:tcW w:w="567"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lang w:val="en-US" w:eastAsia="zh-CN"/>
              </w:rPr>
              <w:t>40</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1</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本单位</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考试或考查</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各方向选修</w:t>
            </w:r>
          </w:p>
        </w:tc>
      </w:tr>
    </w:tbl>
    <w:p>
      <w:pPr>
        <w:spacing w:line="460" w:lineRule="exact"/>
        <w:jc w:val="center"/>
        <w:rPr>
          <w:rFonts w:cs="宋体" w:asciiTheme="minorEastAsia" w:hAnsiTheme="minorEastAsia" w:eastAsiaTheme="minorEastAsia"/>
          <w:szCs w:val="21"/>
          <w:highlight w:val="none"/>
        </w:rPr>
      </w:pPr>
    </w:p>
    <w:p>
      <w:pPr>
        <w:adjustRightInd w:val="0"/>
        <w:snapToGrid w:val="0"/>
        <w:spacing w:line="240" w:lineRule="exact"/>
        <w:ind w:firstLine="472" w:firstLineChars="196"/>
        <w:rPr>
          <w:rFonts w:ascii="仿宋" w:hAnsi="仿宋" w:eastAsia="仿宋" w:cs="宋体"/>
          <w:b/>
          <w:kern w:val="0"/>
          <w:sz w:val="24"/>
          <w:szCs w:val="24"/>
          <w:highlight w:val="none"/>
        </w:rPr>
      </w:pPr>
      <w:r>
        <w:rPr>
          <w:rFonts w:hint="eastAsia" w:ascii="仿宋" w:hAnsi="仿宋" w:eastAsia="仿宋" w:cs="宋体"/>
          <w:b/>
          <w:kern w:val="0"/>
          <w:sz w:val="24"/>
          <w:szCs w:val="24"/>
          <w:highlight w:val="none"/>
        </w:rPr>
        <w:t>说明：</w:t>
      </w:r>
    </w:p>
    <w:p>
      <w:pPr>
        <w:spacing w:line="460" w:lineRule="exact"/>
        <w:ind w:firstLine="480" w:firstLineChars="200"/>
        <w:rPr>
          <w:rFonts w:ascii="宋体" w:hAnsi="宋体" w:cs="宋体"/>
          <w:szCs w:val="21"/>
          <w:highlight w:val="none"/>
        </w:rPr>
      </w:pPr>
      <w:r>
        <w:rPr>
          <w:rFonts w:hint="eastAsia" w:ascii="仿宋" w:hAnsi="仿宋" w:eastAsia="仿宋"/>
          <w:sz w:val="24"/>
          <w:szCs w:val="24"/>
          <w:highlight w:val="none"/>
        </w:rPr>
        <w:t>课程成绩采用百分制。学位课程成绩70 分或以上为合格，可以获得相应学分；非学位课程成绩 60 分为合格，可以获得相应学分。</w:t>
      </w:r>
    </w:p>
    <w:p>
      <w:pPr>
        <w:spacing w:line="460" w:lineRule="exact"/>
        <w:ind w:firstLine="482" w:firstLineChars="200"/>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六、培养计划</w:t>
      </w:r>
    </w:p>
    <w:p>
      <w:pPr>
        <w:spacing w:line="4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硕士生应在入学后3个月内，根据入学当年本学科的培养方案，在导师的指导下，结合研究方向和自身特点，制订个人培养计划，并录入研究生教育综合管理系统中，经导师确认后，由学院批准备案。个人培养计划一经制订，在培养过程中必须严格按计划执行。</w:t>
      </w:r>
    </w:p>
    <w:p>
      <w:pPr>
        <w:spacing w:line="460" w:lineRule="exact"/>
        <w:ind w:firstLine="482" w:firstLineChars="200"/>
        <w:rPr>
          <w:rFonts w:ascii="宋体" w:hAnsi="宋体"/>
          <w:b/>
          <w:sz w:val="24"/>
          <w:szCs w:val="24"/>
          <w:highlight w:val="none"/>
        </w:rPr>
      </w:pPr>
      <w:r>
        <w:rPr>
          <w:rFonts w:hint="eastAsia" w:ascii="宋体" w:hAnsi="宋体"/>
          <w:b/>
          <w:sz w:val="24"/>
          <w:szCs w:val="24"/>
          <w:highlight w:val="none"/>
        </w:rPr>
        <w:t>七、开题报告</w:t>
      </w:r>
    </w:p>
    <w:p>
      <w:pPr>
        <w:spacing w:line="460" w:lineRule="exact"/>
        <w:ind w:firstLine="480" w:firstLineChars="200"/>
        <w:rPr>
          <w:rFonts w:ascii="仿宋" w:hAnsi="仿宋" w:eastAsia="仿宋"/>
          <w:sz w:val="24"/>
          <w:szCs w:val="24"/>
          <w:highlight w:val="none"/>
        </w:rPr>
      </w:pPr>
      <w:bookmarkStart w:id="5" w:name="_Hlk99370406"/>
      <w:r>
        <w:rPr>
          <w:rFonts w:hint="eastAsia" w:ascii="仿宋" w:hAnsi="仿宋" w:eastAsia="仿宋"/>
          <w:sz w:val="24"/>
          <w:szCs w:val="24"/>
          <w:highlight w:val="none"/>
        </w:rPr>
        <w:t>硕士生入学后，应在导师指导下拟定研究方向和论文题目，最迟于第三学期完成学位论文开题报告。具体要求按暨南大学有关规定执行。</w:t>
      </w:r>
    </w:p>
    <w:p>
      <w:pPr>
        <w:spacing w:line="4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开题报告应就选题意义、国内外研究综述、主要研究内容、预期目标、研究方案等做出科学论证，写出书面报告，并在学位点内进行公开报告，听取专家意见并进行必要的修改和调整。</w:t>
      </w:r>
    </w:p>
    <w:p>
      <w:pPr>
        <w:spacing w:line="4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经评审通过的开题报告应上传至研究生教育综合管理系统，并以书面形式提交学院研究生培养管理部门备案。开题未能通过的应在至少3个月后重新申请开题且导师必须回避。开题报告通过者如因特殊情况须变更学位论文课题研究者，应重新进行开题报告。</w:t>
      </w:r>
      <w:bookmarkEnd w:id="5"/>
    </w:p>
    <w:p>
      <w:pPr>
        <w:spacing w:line="460" w:lineRule="exact"/>
        <w:ind w:firstLine="482" w:firstLineChars="200"/>
        <w:rPr>
          <w:rFonts w:ascii="宋体" w:hAnsi="宋体"/>
          <w:b/>
          <w:sz w:val="24"/>
          <w:szCs w:val="24"/>
          <w:highlight w:val="none"/>
        </w:rPr>
      </w:pPr>
      <w:r>
        <w:rPr>
          <w:rFonts w:hint="eastAsia" w:ascii="宋体" w:hAnsi="宋体"/>
          <w:b/>
          <w:sz w:val="24"/>
          <w:szCs w:val="24"/>
          <w:highlight w:val="none"/>
        </w:rPr>
        <w:t>八、中期考核</w:t>
      </w:r>
    </w:p>
    <w:p>
      <w:pPr>
        <w:spacing w:line="460" w:lineRule="exact"/>
        <w:ind w:firstLine="480" w:firstLineChars="200"/>
        <w:rPr>
          <w:rFonts w:hint="eastAsia" w:ascii="仿宋" w:hAnsi="仿宋" w:eastAsia="仿宋"/>
          <w:sz w:val="24"/>
          <w:szCs w:val="24"/>
          <w:highlight w:val="none"/>
          <w:lang w:eastAsia="zh-CN"/>
        </w:rPr>
      </w:pPr>
      <w:r>
        <w:rPr>
          <w:rFonts w:hint="eastAsia" w:ascii="仿宋" w:hAnsi="仿宋" w:eastAsia="仿宋"/>
          <w:sz w:val="24"/>
          <w:szCs w:val="24"/>
          <w:highlight w:val="none"/>
        </w:rPr>
        <w:t>硕士生通过开题报告后，在预答辩之前要进行中期考核，中期考核旨在对照培养方案的要求，从德智体美劳各方面对研究生的学业进展情况进行全面检查，并对其后续学业安排提出意见、建议和要求</w:t>
      </w:r>
      <w:r>
        <w:rPr>
          <w:rFonts w:hint="eastAsia" w:ascii="仿宋" w:hAnsi="仿宋" w:eastAsia="仿宋"/>
          <w:sz w:val="24"/>
          <w:szCs w:val="24"/>
          <w:highlight w:val="none"/>
          <w:lang w:eastAsia="zh-CN"/>
        </w:rPr>
        <w:t>，原则上不迟于第四学期完成。</w:t>
      </w:r>
    </w:p>
    <w:p>
      <w:pPr>
        <w:spacing w:line="460" w:lineRule="exact"/>
        <w:ind w:firstLine="480" w:firstLineChars="200"/>
        <w:rPr>
          <w:rFonts w:hint="default" w:ascii="仿宋" w:hAnsi="仿宋" w:eastAsia="仿宋"/>
          <w:sz w:val="24"/>
          <w:szCs w:val="24"/>
          <w:highlight w:val="none"/>
          <w:lang w:val="en-US" w:eastAsia="zh-CN"/>
        </w:rPr>
      </w:pPr>
      <w:r>
        <w:rPr>
          <w:rFonts w:hint="eastAsia" w:ascii="仿宋" w:hAnsi="仿宋" w:eastAsia="仿宋"/>
          <w:sz w:val="24"/>
          <w:szCs w:val="24"/>
          <w:highlight w:val="none"/>
        </w:rPr>
        <w:t>中期考核的形式包括笔试和面试，各100分。考试内容为专业笔试、思想政治素质考核及学位论文写作情况汇报等，其中专业笔试主要考察对培养方案规定的研究方法、必读书目阅读情况和专业课程知识综合掌握情况，面试主要由硕士生进行学位论文撰写的阶段报告。笔试与面试成绩的平均分达到75分以上（含75分）为合格。考核等级为“合格”及以上的研究生，方可参加论文预答辩，以及进入毕业、学位申请环节。</w:t>
      </w:r>
      <w:r>
        <w:rPr>
          <w:rFonts w:hint="eastAsia" w:ascii="仿宋" w:hAnsi="仿宋" w:eastAsia="仿宋"/>
          <w:sz w:val="24"/>
          <w:szCs w:val="24"/>
          <w:highlight w:val="none"/>
          <w:lang w:eastAsia="zh-CN"/>
        </w:rPr>
        <w:t>中期考核不合格者，可在至少</w:t>
      </w:r>
      <w:r>
        <w:rPr>
          <w:rFonts w:hint="eastAsia" w:ascii="仿宋" w:hAnsi="仿宋" w:eastAsia="仿宋"/>
          <w:sz w:val="24"/>
          <w:szCs w:val="24"/>
          <w:highlight w:val="none"/>
          <w:lang w:val="en-US" w:eastAsia="zh-CN"/>
        </w:rPr>
        <w:t>3个月后重新申请中期考核。二次考核仍不合格者，一般给予退学处理。</w:t>
      </w:r>
    </w:p>
    <w:p>
      <w:pPr>
        <w:spacing w:line="460" w:lineRule="exact"/>
        <w:ind w:firstLine="723" w:firstLineChars="300"/>
        <w:rPr>
          <w:rFonts w:ascii="宋体" w:hAnsi="宋体"/>
          <w:b/>
          <w:sz w:val="24"/>
          <w:szCs w:val="24"/>
          <w:highlight w:val="none"/>
        </w:rPr>
      </w:pPr>
      <w:r>
        <w:rPr>
          <w:rFonts w:hint="eastAsia" w:ascii="宋体" w:hAnsi="宋体"/>
          <w:b/>
          <w:sz w:val="24"/>
          <w:szCs w:val="24"/>
          <w:highlight w:val="none"/>
        </w:rPr>
        <w:t>九、学位（毕业）论文</w:t>
      </w:r>
    </w:p>
    <w:p>
      <w:pPr>
        <w:spacing w:line="4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学位论文写作的时间应不少于1年半。学位（毕业）论文应在导师指导下，由硕士生本人独立完成。研究课题应与本专业的科研任务相结合，要有一定的科学意义或应用价值。</w:t>
      </w:r>
    </w:p>
    <w:p>
      <w:pPr>
        <w:spacing w:line="460" w:lineRule="exact"/>
        <w:ind w:firstLine="482" w:firstLineChars="200"/>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（一）学位（毕业）论文选题与综述的要求</w:t>
      </w:r>
    </w:p>
    <w:p>
      <w:pPr>
        <w:spacing w:line="4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论文选题应从新闻传播学科特点和研究范畴出发，选择对新闻传播学科发展具有重要理论意义和重要应用价值的研究课题。选题要处理好基础性和应用性之间的关系，本学科的学位论文选题应注意与其他一级学科选题之间的区别。</w:t>
      </w:r>
    </w:p>
    <w:p>
      <w:pPr>
        <w:spacing w:line="460" w:lineRule="exact"/>
        <w:ind w:firstLine="482" w:firstLineChars="200"/>
        <w:rPr>
          <w:rFonts w:ascii="仿宋" w:hAnsi="仿宋" w:eastAsia="仿宋"/>
          <w:b/>
          <w:sz w:val="24"/>
          <w:szCs w:val="24"/>
          <w:highlight w:val="none"/>
        </w:rPr>
      </w:pPr>
      <w:bookmarkStart w:id="6" w:name="_Hlk99370853"/>
      <w:r>
        <w:rPr>
          <w:rFonts w:hint="eastAsia" w:ascii="仿宋" w:hAnsi="仿宋" w:eastAsia="仿宋"/>
          <w:b/>
          <w:color w:val="000000" w:themeColor="text1"/>
          <w:sz w:val="24"/>
          <w:szCs w:val="24"/>
          <w:highlight w:val="none"/>
          <w14:textFill>
            <w14:solidFill>
              <w14:schemeClr w14:val="tx1"/>
            </w14:solidFill>
          </w14:textFill>
        </w:rPr>
        <w:t>（二）学位（毕业）论文的</w:t>
      </w:r>
      <w:r>
        <w:rPr>
          <w:rFonts w:hint="eastAsia" w:ascii="仿宋" w:hAnsi="仿宋" w:eastAsia="仿宋"/>
          <w:b/>
          <w:sz w:val="24"/>
          <w:szCs w:val="24"/>
          <w:highlight w:val="none"/>
        </w:rPr>
        <w:t>规范性要求</w:t>
      </w:r>
    </w:p>
    <w:p>
      <w:pPr>
        <w:spacing w:line="4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学位论文应当严格遵守学术规范和暨南大学学位论文基本格式。学位论文规范性包括论文写作、文献引用和综述、理论分析、实验数据及分析等多方面。</w:t>
      </w:r>
    </w:p>
    <w:p>
      <w:pPr>
        <w:spacing w:line="4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w:t>
      </w:r>
      <w:r>
        <w:rPr>
          <w:rFonts w:hint="eastAsia" w:ascii="仿宋" w:hAnsi="仿宋" w:eastAsia="仿宋"/>
          <w:sz w:val="24"/>
          <w:szCs w:val="24"/>
          <w:highlight w:val="none"/>
        </w:rPr>
        <w:t>学位论文写作应符合科技论文写作规范，结构合理、层次清晰、逻辑严密、语言流畅;公式、符号、单位和图表等均要符合规范。</w:t>
      </w:r>
    </w:p>
    <w:p>
      <w:pPr>
        <w:spacing w:line="4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w:t>
      </w:r>
      <w:r>
        <w:rPr>
          <w:rFonts w:ascii="仿宋" w:hAnsi="仿宋" w:eastAsia="仿宋"/>
          <w:sz w:val="24"/>
          <w:szCs w:val="24"/>
          <w:highlight w:val="none"/>
        </w:rPr>
        <w:t>.</w:t>
      </w:r>
      <w:r>
        <w:rPr>
          <w:rFonts w:hint="eastAsia" w:ascii="仿宋" w:hAnsi="仿宋" w:eastAsia="仿宋"/>
          <w:sz w:val="24"/>
          <w:szCs w:val="24"/>
          <w:highlight w:val="none"/>
        </w:rPr>
        <w:t>学位论文一般应包括论文课题的研究背景和任务,国内外在该研究领域的研究情况和发展趋势，重要的理论分析和原理阐述，应对文化、研究假设结果有分析和总结，并有对全文工作的总结展望和参考文献列表等内容。</w:t>
      </w:r>
    </w:p>
    <w:p>
      <w:pPr>
        <w:spacing w:line="4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w:t>
      </w:r>
      <w:r>
        <w:rPr>
          <w:rFonts w:ascii="仿宋" w:hAnsi="仿宋" w:eastAsia="仿宋"/>
          <w:sz w:val="24"/>
          <w:szCs w:val="24"/>
          <w:highlight w:val="none"/>
        </w:rPr>
        <w:t>.</w:t>
      </w:r>
      <w:r>
        <w:rPr>
          <w:rFonts w:hint="eastAsia" w:ascii="仿宋" w:hAnsi="仿宋" w:eastAsia="仿宋"/>
          <w:sz w:val="24"/>
          <w:szCs w:val="24"/>
          <w:highlight w:val="none"/>
        </w:rPr>
        <w:t>学位论文文献引用要准确、恰当，要引述具有代表性的文献，还要注意找到最原始的文献，避免过多的转引。文献引用要有必要性，所列文献的观点或材料应当与论文内容匹配，避免虚列;文献综述和评价应客观、公正，不抬高、不贬低。</w:t>
      </w:r>
    </w:p>
    <w:p>
      <w:pPr>
        <w:spacing w:line="4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4.学位论文理论分析应系统而深入，原理阐述准确而清晰。</w:t>
      </w:r>
    </w:p>
    <w:p>
      <w:pPr>
        <w:spacing w:line="4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5.实验方法要合理，实验数据要可靠，要对实验结果有深入分析和明确的结论。</w:t>
      </w:r>
      <w:bookmarkEnd w:id="6"/>
    </w:p>
    <w:p>
      <w:pPr>
        <w:spacing w:line="460" w:lineRule="exact"/>
        <w:ind w:left="472" w:firstLine="200"/>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 xml:space="preserve">（三）学位（毕业）论文的成果创新性要求 </w:t>
      </w:r>
    </w:p>
    <w:p>
      <w:pPr>
        <w:spacing w:line="4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学位论文的成果创新性的要求体现在选题的价值性、材料的可靠性、方法的恰当性、研究论证的严密性、结果的独特性等方面。有价值的选题往往从根本上决定着成果的创新性。因此，研究生应当在深入研究、充分调研和思考的基础上确定选题。论文中相关内容与数据是体现成果创新性的基本依据，创新性成果应当具备真实可靠的内容与数据。解决问题的方法和相关论证决定着论文的基本质量，论文中论证的严密性主要体现在概念使用的准确性、观点和数据的统一性、 语言表达的逻辑性、篇章结构的合理性等方面。学位论文应在新闻传播学领域对相关重要理论的发展和重要新闻传播现象的发现研究中有所突破，创新性成果应是在所研究领域提出和发现新理论与新方法、探索新现象，获得新结果等。</w:t>
      </w:r>
    </w:p>
    <w:p>
      <w:pPr>
        <w:spacing w:line="4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学位论文创新性成果的体现方式包括发表在本学科领域的国际期刊、国内核心期刊或暨南大学规定的其它刊物的学术论文，以及能证明其获得自主知识产权的研究成果等。</w:t>
      </w:r>
    </w:p>
    <w:p>
      <w:pPr>
        <w:spacing w:line="460" w:lineRule="exact"/>
        <w:ind w:firstLine="482" w:firstLineChars="200"/>
        <w:rPr>
          <w:rFonts w:ascii="宋体" w:hAnsi="宋体"/>
          <w:b/>
          <w:sz w:val="24"/>
          <w:szCs w:val="24"/>
          <w:highlight w:val="none"/>
        </w:rPr>
      </w:pPr>
      <w:r>
        <w:rPr>
          <w:rFonts w:hint="eastAsia" w:ascii="宋体" w:hAnsi="宋体"/>
          <w:b/>
          <w:sz w:val="24"/>
          <w:szCs w:val="24"/>
          <w:highlight w:val="none"/>
        </w:rPr>
        <w:t>（四）学位（毕业）论文预答辩与答辩要求</w:t>
      </w:r>
    </w:p>
    <w:p>
      <w:pPr>
        <w:spacing w:line="460" w:lineRule="exact"/>
        <w:ind w:firstLine="480" w:firstLineChars="200"/>
        <w:rPr>
          <w:rFonts w:ascii="宋体" w:hAnsi="宋体"/>
          <w:color w:val="000000" w:themeColor="text1"/>
          <w:sz w:val="24"/>
          <w:szCs w:val="24"/>
          <w:highlight w:val="none"/>
          <w14:textFill>
            <w14:solidFill>
              <w14:schemeClr w14:val="tx1"/>
            </w14:solidFill>
          </w14:textFill>
        </w:rPr>
      </w:pPr>
      <w:bookmarkStart w:id="7" w:name="_Hlk99370883"/>
      <w:r>
        <w:rPr>
          <w:rFonts w:hint="eastAsia" w:ascii="仿宋" w:hAnsi="仿宋" w:eastAsia="仿宋"/>
          <w:sz w:val="24"/>
          <w:szCs w:val="24"/>
          <w:highlight w:val="none"/>
        </w:rPr>
        <w:t>本学科硕士研究生在学位（毕业）论文答辩前，需按要求完成预答辩。预答辩和答辩要求和流程按暨南大学及本学科有关规定执行。</w:t>
      </w:r>
      <w:bookmarkEnd w:id="7"/>
    </w:p>
    <w:p>
      <w:pPr>
        <w:spacing w:line="460" w:lineRule="exact"/>
        <w:ind w:firstLine="482" w:firstLineChars="200"/>
        <w:rPr>
          <w:rFonts w:ascii="宋体" w:hAnsi="宋体"/>
          <w:b/>
          <w:sz w:val="24"/>
          <w:szCs w:val="24"/>
          <w:highlight w:val="none"/>
        </w:rPr>
      </w:pPr>
      <w:r>
        <w:rPr>
          <w:rFonts w:hint="eastAsia" w:ascii="宋体" w:hAnsi="宋体"/>
          <w:b/>
          <w:sz w:val="24"/>
          <w:szCs w:val="24"/>
          <w:highlight w:val="none"/>
        </w:rPr>
        <w:t>十、在学期间科研成果要求</w:t>
      </w:r>
    </w:p>
    <w:p>
      <w:pPr>
        <w:spacing w:line="460" w:lineRule="exact"/>
        <w:ind w:firstLine="480" w:firstLineChars="200"/>
        <w:rPr>
          <w:rFonts w:ascii="宋体" w:hAnsi="宋体"/>
          <w:b/>
          <w:sz w:val="24"/>
          <w:szCs w:val="24"/>
          <w:highlight w:val="none"/>
        </w:rPr>
      </w:pPr>
      <w:r>
        <w:rPr>
          <w:rFonts w:hint="eastAsia" w:ascii="仿宋" w:hAnsi="仿宋" w:eastAsia="仿宋"/>
          <w:sz w:val="24"/>
          <w:szCs w:val="24"/>
          <w:highlight w:val="none"/>
        </w:rPr>
        <w:t>按照文学分委会有关规定执行。</w:t>
      </w:r>
    </w:p>
    <w:p>
      <w:pPr>
        <w:spacing w:line="460" w:lineRule="exact"/>
        <w:ind w:firstLine="482" w:firstLineChars="200"/>
        <w:rPr>
          <w:rFonts w:ascii="宋体" w:hAnsi="宋体"/>
          <w:b/>
          <w:sz w:val="24"/>
          <w:szCs w:val="24"/>
          <w:highlight w:val="none"/>
        </w:rPr>
      </w:pPr>
      <w:r>
        <w:rPr>
          <w:rFonts w:hint="eastAsia" w:ascii="宋体" w:hAnsi="宋体"/>
          <w:b/>
          <w:sz w:val="24"/>
          <w:szCs w:val="24"/>
          <w:highlight w:val="none"/>
        </w:rPr>
        <w:t>十一、毕业与授予学位标准</w:t>
      </w:r>
    </w:p>
    <w:p>
      <w:pPr>
        <w:spacing w:line="460" w:lineRule="exact"/>
        <w:ind w:firstLine="480" w:firstLineChars="200"/>
        <w:rPr>
          <w:rFonts w:asciiTheme="minorEastAsia" w:hAnsiTheme="minorEastAsia" w:eastAsiaTheme="minorEastAsia"/>
          <w:b/>
          <w:sz w:val="24"/>
          <w:szCs w:val="24"/>
          <w:highlight w:val="none"/>
        </w:rPr>
      </w:pPr>
      <w:r>
        <w:rPr>
          <w:rFonts w:hint="eastAsia" w:ascii="仿宋" w:hAnsi="仿宋" w:eastAsia="仿宋"/>
          <w:sz w:val="24"/>
          <w:szCs w:val="24"/>
          <w:highlight w:val="none"/>
        </w:rPr>
        <w:t>毕业和授予学位授予标准按照学校有关规定进行。</w:t>
      </w:r>
    </w:p>
    <w:p>
      <w:pPr>
        <w:spacing w:line="460" w:lineRule="exact"/>
        <w:ind w:firstLine="482" w:firstLineChars="200"/>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十二、</w:t>
      </w:r>
      <w:r>
        <w:rPr>
          <w:rFonts w:asciiTheme="minorEastAsia" w:hAnsiTheme="minorEastAsia" w:eastAsiaTheme="minorEastAsia"/>
          <w:b/>
          <w:sz w:val="24"/>
          <w:szCs w:val="24"/>
          <w:highlight w:val="none"/>
        </w:rPr>
        <w:t>必读书目</w:t>
      </w:r>
      <w:r>
        <w:rPr>
          <w:rFonts w:hint="eastAsia" w:asciiTheme="minorEastAsia" w:hAnsiTheme="minorEastAsia" w:eastAsiaTheme="minorEastAsia"/>
          <w:b/>
          <w:sz w:val="24"/>
          <w:szCs w:val="24"/>
          <w:highlight w:val="none"/>
        </w:rPr>
        <w:t xml:space="preserve">    </w:t>
      </w:r>
    </w:p>
    <w:tbl>
      <w:tblPr>
        <w:tblStyle w:val="5"/>
        <w:tblW w:w="9700" w:type="dxa"/>
        <w:jc w:val="center"/>
        <w:tblLayout w:type="fixed"/>
        <w:tblCellMar>
          <w:top w:w="0" w:type="dxa"/>
          <w:left w:w="108" w:type="dxa"/>
          <w:bottom w:w="0" w:type="dxa"/>
          <w:right w:w="108" w:type="dxa"/>
        </w:tblCellMar>
      </w:tblPr>
      <w:tblGrid>
        <w:gridCol w:w="714"/>
        <w:gridCol w:w="2126"/>
        <w:gridCol w:w="3261"/>
        <w:gridCol w:w="2219"/>
        <w:gridCol w:w="1380"/>
      </w:tblGrid>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b/>
                <w:bCs/>
                <w:color w:val="000000"/>
                <w:kern w:val="0"/>
              </w:rPr>
            </w:pPr>
            <w:r>
              <w:rPr>
                <w:rFonts w:hint="eastAsia" w:ascii="仿宋" w:hAnsi="仿宋" w:eastAsia="仿宋" w:cs="宋体"/>
                <w:b/>
                <w:bCs/>
                <w:color w:val="000000"/>
                <w:kern w:val="0"/>
              </w:rPr>
              <w:t>序号</w:t>
            </w:r>
          </w:p>
        </w:tc>
        <w:tc>
          <w:tcPr>
            <w:tcW w:w="2126"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 w:hAnsi="仿宋" w:eastAsia="仿宋" w:cs="宋体"/>
                <w:b/>
                <w:bCs/>
                <w:color w:val="000000"/>
                <w:kern w:val="0"/>
              </w:rPr>
            </w:pPr>
            <w:r>
              <w:rPr>
                <w:rFonts w:hint="eastAsia" w:ascii="仿宋" w:hAnsi="仿宋" w:eastAsia="仿宋" w:cs="宋体"/>
                <w:b/>
                <w:bCs/>
                <w:color w:val="000000"/>
                <w:kern w:val="0"/>
              </w:rPr>
              <w:t>书名</w:t>
            </w:r>
          </w:p>
        </w:tc>
        <w:tc>
          <w:tcPr>
            <w:tcW w:w="3261"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 w:hAnsi="仿宋" w:eastAsia="仿宋" w:cs="宋体"/>
                <w:b/>
                <w:bCs/>
                <w:color w:val="000000"/>
                <w:kern w:val="0"/>
              </w:rPr>
            </w:pPr>
            <w:r>
              <w:rPr>
                <w:rFonts w:hint="eastAsia" w:ascii="仿宋" w:hAnsi="仿宋" w:eastAsia="仿宋" w:cs="宋体"/>
                <w:b/>
                <w:bCs/>
                <w:color w:val="000000"/>
                <w:kern w:val="0"/>
              </w:rPr>
              <w:t>作者</w:t>
            </w:r>
          </w:p>
        </w:tc>
        <w:tc>
          <w:tcPr>
            <w:tcW w:w="22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 w:hAnsi="仿宋" w:eastAsia="仿宋" w:cs="宋体"/>
                <w:b/>
                <w:bCs/>
                <w:color w:val="000000"/>
                <w:kern w:val="0"/>
              </w:rPr>
            </w:pPr>
            <w:r>
              <w:rPr>
                <w:rFonts w:hint="eastAsia" w:ascii="仿宋" w:hAnsi="仿宋" w:eastAsia="仿宋" w:cs="宋体"/>
                <w:b/>
                <w:bCs/>
                <w:color w:val="000000"/>
                <w:kern w:val="0"/>
              </w:rPr>
              <w:t>出版社</w:t>
            </w:r>
          </w:p>
        </w:tc>
        <w:tc>
          <w:tcPr>
            <w:tcW w:w="138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 w:hAnsi="仿宋" w:eastAsia="仿宋" w:cs="宋体"/>
                <w:b/>
                <w:bCs/>
                <w:color w:val="000000"/>
                <w:kern w:val="0"/>
              </w:rPr>
            </w:pPr>
            <w:r>
              <w:rPr>
                <w:rFonts w:hint="eastAsia" w:ascii="仿宋" w:hAnsi="仿宋" w:eastAsia="仿宋" w:cs="宋体"/>
                <w:b/>
                <w:bCs/>
                <w:color w:val="000000"/>
                <w:kern w:val="0"/>
              </w:rPr>
              <w:t>出版日期</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ascii="仿宋" w:hAnsi="仿宋" w:eastAsia="仿宋" w:cs="宋体"/>
                <w:color w:val="000000"/>
                <w:kern w:val="0"/>
              </w:rPr>
              <w:t>1</w:t>
            </w:r>
          </w:p>
        </w:tc>
        <w:tc>
          <w:tcPr>
            <w:tcW w:w="2126"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中国新闻事业通史（第1-3卷）</w:t>
            </w:r>
          </w:p>
        </w:tc>
        <w:tc>
          <w:tcPr>
            <w:tcW w:w="3261"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方汉奇</w:t>
            </w:r>
          </w:p>
        </w:tc>
        <w:tc>
          <w:tcPr>
            <w:tcW w:w="221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中国人民大学出版社</w:t>
            </w:r>
          </w:p>
        </w:tc>
        <w:tc>
          <w:tcPr>
            <w:tcW w:w="1380"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1996年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w:t>
            </w:r>
          </w:p>
        </w:tc>
        <w:tc>
          <w:tcPr>
            <w:tcW w:w="2126"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新闻观念论</w:t>
            </w:r>
          </w:p>
        </w:tc>
        <w:tc>
          <w:tcPr>
            <w:tcW w:w="3261"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杨保军</w:t>
            </w:r>
          </w:p>
        </w:tc>
        <w:tc>
          <w:tcPr>
            <w:tcW w:w="221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复旦大学出版社</w:t>
            </w:r>
          </w:p>
        </w:tc>
        <w:tc>
          <w:tcPr>
            <w:tcW w:w="1380"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2014年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3</w:t>
            </w:r>
          </w:p>
        </w:tc>
        <w:tc>
          <w:tcPr>
            <w:tcW w:w="2126"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发掘新闻</w:t>
            </w:r>
          </w:p>
        </w:tc>
        <w:tc>
          <w:tcPr>
            <w:tcW w:w="3261"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（美）舒德森</w:t>
            </w:r>
          </w:p>
        </w:tc>
        <w:tc>
          <w:tcPr>
            <w:tcW w:w="221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北京大学出版社</w:t>
            </w:r>
          </w:p>
        </w:tc>
        <w:tc>
          <w:tcPr>
            <w:tcW w:w="1380"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2009年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4</w:t>
            </w:r>
          </w:p>
        </w:tc>
        <w:tc>
          <w:tcPr>
            <w:tcW w:w="2126"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新闻社会学</w:t>
            </w:r>
          </w:p>
        </w:tc>
        <w:tc>
          <w:tcPr>
            <w:tcW w:w="3261"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（美）迈克尔·舒德森</w:t>
            </w:r>
          </w:p>
        </w:tc>
        <w:tc>
          <w:tcPr>
            <w:tcW w:w="221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华夏出版社</w:t>
            </w:r>
          </w:p>
        </w:tc>
        <w:tc>
          <w:tcPr>
            <w:tcW w:w="1380"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2010年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5</w:t>
            </w:r>
          </w:p>
        </w:tc>
        <w:tc>
          <w:tcPr>
            <w:tcW w:w="2126"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当代西方新闻理论</w:t>
            </w:r>
          </w:p>
        </w:tc>
        <w:tc>
          <w:tcPr>
            <w:tcW w:w="3261"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刘建明</w:t>
            </w:r>
          </w:p>
        </w:tc>
        <w:tc>
          <w:tcPr>
            <w:tcW w:w="221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中国人民大学出版社</w:t>
            </w:r>
          </w:p>
        </w:tc>
        <w:tc>
          <w:tcPr>
            <w:tcW w:w="1380"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2015年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6</w:t>
            </w:r>
          </w:p>
        </w:tc>
        <w:tc>
          <w:tcPr>
            <w:tcW w:w="2126"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麦奎尔大众传播理论（第五版）</w:t>
            </w:r>
          </w:p>
        </w:tc>
        <w:tc>
          <w:tcPr>
            <w:tcW w:w="3261"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（英）丹尼斯·麦奎尔</w:t>
            </w:r>
          </w:p>
        </w:tc>
        <w:tc>
          <w:tcPr>
            <w:tcW w:w="221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清华大学出版社</w:t>
            </w:r>
          </w:p>
        </w:tc>
        <w:tc>
          <w:tcPr>
            <w:tcW w:w="1380"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2010年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7</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做新闻</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(美)塔奇曼著，麻争旗、刘笑盈、徐扬译</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华夏出版社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2008年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8</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普通媒介学教程</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（法） 雷吉斯·德布雷</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清华大学出版社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2014年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9</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社会研究方法（第十一版）</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（美）艾尔</w:t>
            </w:r>
            <w:r>
              <w:rPr>
                <w:rFonts w:ascii="Calibri" w:hAnsi="Calibri" w:eastAsia="仿宋" w:cs="宋体"/>
                <w:color w:val="000000"/>
                <w:kern w:val="0"/>
              </w:rPr>
              <w:t>•</w:t>
            </w:r>
            <w:r>
              <w:rPr>
                <w:rFonts w:hint="eastAsia" w:ascii="仿宋" w:hAnsi="仿宋" w:eastAsia="仿宋" w:cs="宋体"/>
                <w:color w:val="000000"/>
                <w:kern w:val="0"/>
              </w:rPr>
              <w:t>巴比（</w:t>
            </w:r>
            <w:r>
              <w:rPr>
                <w:rFonts w:ascii="仿宋" w:hAnsi="仿宋" w:eastAsia="仿宋" w:cs="宋体"/>
                <w:color w:val="000000"/>
                <w:kern w:val="0"/>
              </w:rPr>
              <w:t>Earl</w:t>
            </w:r>
            <w:r>
              <w:rPr>
                <w:rFonts w:ascii="Calibri" w:hAnsi="Calibri" w:eastAsia="仿宋" w:cs="宋体"/>
                <w:color w:val="000000"/>
                <w:kern w:val="0"/>
              </w:rPr>
              <w:t> </w:t>
            </w:r>
            <w:r>
              <w:rPr>
                <w:rFonts w:hint="eastAsia" w:ascii="仿宋" w:hAnsi="仿宋" w:eastAsia="仿宋" w:cs="宋体"/>
                <w:color w:val="000000"/>
                <w:kern w:val="0"/>
              </w:rPr>
              <w:t>Babbie）著，</w:t>
            </w:r>
            <w:r>
              <w:rPr>
                <w:rFonts w:ascii="Calibri" w:hAnsi="Calibri" w:eastAsia="仿宋" w:cs="宋体"/>
                <w:color w:val="000000"/>
                <w:kern w:val="0"/>
              </w:rPr>
              <w:t> </w:t>
            </w:r>
            <w:r>
              <w:rPr>
                <w:rFonts w:hint="eastAsia" w:ascii="仿宋" w:hAnsi="仿宋" w:eastAsia="仿宋" w:cs="宋体"/>
                <w:color w:val="000000"/>
                <w:kern w:val="0"/>
              </w:rPr>
              <w:t>邱泽奇译</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fldChar w:fldCharType="begin"/>
            </w:r>
            <w:r>
              <w:instrText xml:space="preserve"> HYPERLINK "http://search.dangdang.com/?key3=%BB%AA%CF%C4%B3%F6%B0%E6%C9%E7&amp;medium=01&amp;category_path=01.00.00.00.00.00" \o "http://search.dangdang.com/?key3=%BB%AA%CF%C4%B3%F6%B0%E6%C9%E7&amp;medium=01&amp;category_path=01.00.00.00.00.00" </w:instrText>
            </w:r>
            <w:r>
              <w:fldChar w:fldCharType="separate"/>
            </w:r>
            <w:r>
              <w:rPr>
                <w:rFonts w:hint="eastAsia" w:ascii="仿宋" w:hAnsi="仿宋" w:eastAsia="仿宋" w:cs="宋体"/>
                <w:color w:val="000000"/>
                <w:kern w:val="0"/>
              </w:rPr>
              <w:t>华夏出版社</w:t>
            </w:r>
            <w:r>
              <w:rPr>
                <w:rFonts w:hint="eastAsia" w:ascii="仿宋" w:hAnsi="仿宋" w:eastAsia="仿宋" w:cs="宋体"/>
                <w:color w:val="000000"/>
                <w:kern w:val="0"/>
              </w:rPr>
              <w:fldChar w:fldCharType="end"/>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2018年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10</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符号学原理与推演</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赵毅衡</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南京大学出版社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2017年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11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区分：判断力的社会批判</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（法）皮埃尔</w:t>
            </w:r>
            <w:r>
              <w:rPr>
                <w:rFonts w:hint="eastAsia" w:ascii="仿宋" w:hAnsi="MS Gothic" w:eastAsia="MS Gothic" w:cs="宋体"/>
                <w:color w:val="000000"/>
                <w:kern w:val="0"/>
              </w:rPr>
              <w:t>・</w:t>
            </w:r>
            <w:r>
              <w:rPr>
                <w:rFonts w:hint="eastAsia" w:ascii="仿宋" w:hAnsi="仿宋" w:eastAsia="仿宋" w:cs="宋体"/>
                <w:color w:val="000000"/>
                <w:kern w:val="0"/>
              </w:rPr>
              <w:t>布尔迪厄</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商务印书馆</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2015年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12</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社会学的想象力</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fldChar w:fldCharType="begin"/>
            </w:r>
            <w:r>
              <w:instrText xml:space="preserve"> HYPERLINK "https://book.douban.com/search/C.%E8%B5%96%E7%89%B9%C2%B7%E7%B1%B3%E5%B0%94%E6%96%AF" \o "https://book.douban.com/search/C.%E8%B5%96%E7%89%B9%C2%B7%E7%B1%B3%E5%B0%94%E6%96%AF" </w:instrText>
            </w:r>
            <w:r>
              <w:fldChar w:fldCharType="separate"/>
            </w:r>
            <w:r>
              <w:rPr>
                <w:rFonts w:hint="eastAsia" w:ascii="仿宋" w:hAnsi="仿宋" w:eastAsia="仿宋" w:cs="宋体"/>
                <w:color w:val="000000"/>
                <w:kern w:val="0"/>
              </w:rPr>
              <w:t>（美）赖特·米尔斯</w:t>
            </w:r>
            <w:r>
              <w:rPr>
                <w:rFonts w:hint="eastAsia" w:ascii="仿宋" w:hAnsi="仿宋" w:eastAsia="仿宋" w:cs="宋体"/>
                <w:color w:val="000000"/>
                <w:kern w:val="0"/>
              </w:rPr>
              <w:fldChar w:fldCharType="end"/>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生活·读书·新知三联书店</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2016年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13</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对空言说：传播的观念史</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fldChar w:fldCharType="begin"/>
            </w:r>
            <w:r>
              <w:instrText xml:space="preserve"> HYPERLINK "http://search.dangdang.com/?key2=%B1%CB%B5%C3%CB%B9&amp;medium=01&amp;category_path=01.00.00.00.00.00" \o "http://search.dangdang.com/?key2=%B1%CB%B5%C3%CB%B9&amp;medium=01&amp;category_path=01.00.00.00.00.00" </w:instrText>
            </w:r>
            <w:r>
              <w:fldChar w:fldCharType="separate"/>
            </w:r>
            <w:r>
              <w:rPr>
                <w:rFonts w:hint="eastAsia" w:ascii="仿宋" w:hAnsi="仿宋" w:eastAsia="仿宋" w:cs="宋体"/>
                <w:color w:val="000000"/>
                <w:kern w:val="0"/>
              </w:rPr>
              <w:t>（美）彼得斯</w:t>
            </w:r>
            <w:r>
              <w:rPr>
                <w:rFonts w:hint="eastAsia" w:ascii="仿宋" w:hAnsi="仿宋" w:eastAsia="仿宋" w:cs="宋体"/>
                <w:color w:val="000000"/>
                <w:kern w:val="0"/>
              </w:rPr>
              <w:fldChar w:fldCharType="end"/>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fldChar w:fldCharType="begin"/>
            </w:r>
            <w:r>
              <w:instrText xml:space="preserve"> HYPERLINK "http://search.dangdang.com/?key3=%C9%CF%BA%A3%D2%EB%CE%C4%B3%F6%B0%E6%C9%E7&amp;medium=01&amp;category_path=01.00.00.00.00.00" \o "http://search.dangdang.com/?key3=%C9%CF%BA%A3%D2%EB%CE%C4%B3%F6%B0%E6%C9%E7&amp;medium=01&amp;category_path=01.00.00.00.00.00" </w:instrText>
            </w:r>
            <w:r>
              <w:fldChar w:fldCharType="separate"/>
            </w:r>
            <w:r>
              <w:rPr>
                <w:rFonts w:hint="eastAsia" w:ascii="仿宋" w:hAnsi="仿宋" w:eastAsia="仿宋" w:cs="宋体"/>
                <w:color w:val="000000"/>
                <w:kern w:val="0"/>
              </w:rPr>
              <w:t>上海译文出版社</w:t>
            </w:r>
            <w:r>
              <w:rPr>
                <w:rFonts w:hint="eastAsia" w:ascii="仿宋" w:hAnsi="仿宋" w:eastAsia="仿宋" w:cs="宋体"/>
                <w:color w:val="000000"/>
                <w:kern w:val="0"/>
              </w:rPr>
              <w:fldChar w:fldCharType="end"/>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2017年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宋体"/>
                <w:color w:val="000000"/>
                <w:kern w:val="0"/>
                <w:lang w:val="en-US" w:eastAsia="zh-CN"/>
              </w:rPr>
            </w:pPr>
            <w:r>
              <w:rPr>
                <w:rFonts w:hint="eastAsia" w:ascii="仿宋" w:hAnsi="仿宋" w:eastAsia="仿宋" w:cs="宋体"/>
                <w:color w:val="000000"/>
                <w:kern w:val="0"/>
              </w:rPr>
              <w:t>1</w:t>
            </w:r>
            <w:r>
              <w:rPr>
                <w:rFonts w:hint="eastAsia" w:ascii="仿宋" w:hAnsi="仿宋" w:eastAsia="仿宋" w:cs="宋体"/>
                <w:color w:val="000000"/>
                <w:kern w:val="0"/>
                <w:lang w:val="en-US" w:eastAsia="zh-CN"/>
              </w:rPr>
              <w:t>4</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网络社会的崛起</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（美）曼纽尔</w:t>
            </w:r>
            <w:r>
              <w:rPr>
                <w:rFonts w:hint="eastAsia" w:ascii="仿宋" w:hAnsi="宋体" w:eastAsia="宋体" w:cs="宋体"/>
                <w:color w:val="000000"/>
                <w:kern w:val="0"/>
              </w:rPr>
              <w:t>•</w:t>
            </w:r>
            <w:r>
              <w:rPr>
                <w:rFonts w:hint="eastAsia" w:ascii="仿宋" w:hAnsi="仿宋" w:eastAsia="仿宋" w:cs="宋体"/>
                <w:color w:val="000000"/>
                <w:kern w:val="0"/>
              </w:rPr>
              <w:t>卡斯特，夏铸九、 王志弘等译</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社会科学文献出版</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2001年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宋体"/>
                <w:color w:val="000000"/>
                <w:kern w:val="0"/>
                <w:lang w:val="en-US" w:eastAsia="zh-CN"/>
              </w:rPr>
            </w:pPr>
            <w:r>
              <w:rPr>
                <w:rFonts w:hint="eastAsia" w:ascii="仿宋" w:hAnsi="仿宋" w:eastAsia="仿宋" w:cs="宋体"/>
                <w:color w:val="000000"/>
                <w:kern w:val="0"/>
              </w:rPr>
              <w:t>1</w:t>
            </w:r>
            <w:r>
              <w:rPr>
                <w:rFonts w:hint="eastAsia" w:ascii="仿宋" w:hAnsi="仿宋" w:eastAsia="仿宋" w:cs="宋体"/>
                <w:color w:val="000000"/>
                <w:kern w:val="0"/>
                <w:lang w:val="en-US" w:eastAsia="zh-CN"/>
              </w:rPr>
              <w:t>5</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新媒介：关键概念</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（英）尼古拉斯·盖恩、戴维·比尔，刘君、周竞男译</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复旦大学出版社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2015年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宋体"/>
                <w:color w:val="000000"/>
                <w:kern w:val="0"/>
                <w:lang w:val="en-US" w:eastAsia="zh-CN"/>
              </w:rPr>
            </w:pPr>
            <w:r>
              <w:rPr>
                <w:rFonts w:hint="eastAsia" w:ascii="仿宋" w:hAnsi="仿宋" w:eastAsia="仿宋" w:cs="宋体"/>
                <w:color w:val="000000"/>
                <w:kern w:val="0"/>
              </w:rPr>
              <w:t>1</w:t>
            </w:r>
            <w:r>
              <w:rPr>
                <w:rFonts w:hint="eastAsia" w:ascii="仿宋" w:hAnsi="仿宋" w:eastAsia="仿宋" w:cs="宋体"/>
                <w:color w:val="000000"/>
                <w:kern w:val="0"/>
                <w:lang w:val="en-US" w:eastAsia="zh-CN"/>
              </w:rPr>
              <w:t>6</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文化理论与大众文化导论（第七版）</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（英）约翰·斯道雷</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北京大学出版社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2019年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宋体"/>
                <w:color w:val="000000"/>
                <w:kern w:val="0"/>
                <w:lang w:val="en-US" w:eastAsia="zh-CN"/>
              </w:rPr>
            </w:pPr>
            <w:r>
              <w:rPr>
                <w:rFonts w:hint="eastAsia" w:ascii="仿宋" w:hAnsi="仿宋" w:eastAsia="仿宋" w:cs="宋体"/>
                <w:color w:val="000000"/>
                <w:kern w:val="0"/>
              </w:rPr>
              <w:t>1</w:t>
            </w:r>
            <w:r>
              <w:rPr>
                <w:rFonts w:hint="eastAsia" w:ascii="仿宋" w:hAnsi="仿宋" w:eastAsia="仿宋" w:cs="宋体"/>
                <w:color w:val="000000"/>
                <w:kern w:val="0"/>
                <w:lang w:val="en-US" w:eastAsia="zh-CN"/>
              </w:rPr>
              <w:t>7</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流动的图像：当代中国视觉文化再解读</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（美）唐小兵</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复旦大学出版社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2018年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18</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The Sociological Imagination</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Mills, C. W</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Oxford, UK: Oxford University Press.</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2000年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19</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Communications and Mobility: The Migrant, the Mobile Phone, and the Container Box</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David Morley</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Wiley-Blackwell</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2017年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20</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国际传播理论前沿</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fldChar w:fldCharType="begin"/>
            </w:r>
            <w:r>
              <w:instrText xml:space="preserve"> HYPERLINK "https://www.amazon.cn/s/ref=dp_byline_sr_book_1?ie=UTF8&amp;field-author=%E8%BF%88%E8%B5%AB%E8%BF%AA%C2%B7%E8%90%A8%E9%A9%AC%E8%BF%AA&amp;search-alias=books" \o "https://www.amazon.cn/s/ref=dp_byline_sr_book_1?ie=UTF8&amp;field-author=%E8%BF%88%E8%B5%AB%E8%BF%AA%C2%B7%E8%90%A8%E9%A9%AC%E8%BF%AA&amp;search-alias=books" </w:instrText>
            </w:r>
            <w:r>
              <w:fldChar w:fldCharType="separate"/>
            </w:r>
            <w:r>
              <w:rPr>
                <w:rFonts w:hint="eastAsia" w:ascii="仿宋" w:hAnsi="仿宋" w:eastAsia="仿宋" w:cs="宋体"/>
                <w:color w:val="000000"/>
                <w:kern w:val="0"/>
              </w:rPr>
              <w:t>（美）迈赫迪</w:t>
            </w:r>
            <w:r>
              <w:rPr>
                <w:rFonts w:ascii="仿宋" w:hAnsi="仿宋" w:eastAsia="仿宋" w:cs="宋体"/>
                <w:color w:val="000000"/>
                <w:kern w:val="0"/>
              </w:rPr>
              <w:t>·</w:t>
            </w:r>
            <w:r>
              <w:rPr>
                <w:rFonts w:hint="eastAsia" w:ascii="仿宋" w:hAnsi="仿宋" w:eastAsia="仿宋" w:cs="宋体"/>
                <w:color w:val="000000"/>
                <w:kern w:val="0"/>
              </w:rPr>
              <w:t>萨马迪</w:t>
            </w:r>
            <w:r>
              <w:rPr>
                <w:rFonts w:hint="eastAsia" w:ascii="仿宋" w:hAnsi="仿宋" w:eastAsia="仿宋" w:cs="宋体"/>
                <w:color w:val="000000"/>
                <w:kern w:val="0"/>
              </w:rPr>
              <w:fldChar w:fldCharType="end"/>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中国传媒大学出版社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2016年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21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fldChar w:fldCharType="begin"/>
            </w:r>
            <w:r>
              <w:instrText xml:space="preserve"> HYPERLINK "https://www.amazon.cn/dp/B01CC4HL1C/ref=sr_1_2?__mk_zh_CN=%E4%BA%9A%E9%A9%AC%E9%80%8A%E7%BD%91%E7%AB%99&amp;keywords=%E5%9B%BD%E9%99%85%E6%96%B0%E9%97%BB&amp;qid=1558184100&amp;s=books&amp;sr=1-2" \o "https://www.amazon.cn/dp/B01CC4HL1C/ref=sr_1_2?__mk_zh_CN=%E4%BA%9A%E9%A9%AC%E9%80%8A%E7%BD%91%E7%AB%99&amp;keywords=%E5%9B%BD%E9%99%85%E6%96%B0%E9%97%BB&amp;qid=1558184100&amp;s=books&amp;sr=1-2" </w:instrText>
            </w:r>
            <w:r>
              <w:fldChar w:fldCharType="separate"/>
            </w:r>
            <w:r>
              <w:rPr>
                <w:rFonts w:hint="eastAsia" w:ascii="仿宋" w:hAnsi="仿宋" w:eastAsia="仿宋" w:cs="宋体"/>
                <w:color w:val="000000"/>
                <w:kern w:val="0"/>
              </w:rPr>
              <w:t>理解国际新闻（批判性导论）</w:t>
            </w:r>
            <w:r>
              <w:rPr>
                <w:rFonts w:hint="eastAsia" w:ascii="仿宋" w:hAnsi="仿宋" w:eastAsia="仿宋" w:cs="宋体"/>
                <w:color w:val="000000"/>
                <w:kern w:val="0"/>
              </w:rPr>
              <w:fldChar w:fldCharType="end"/>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（荷）雅普·梵·吉内肯</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中国传媒大学出版社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2016年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22</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传播统计法：定量研究操作指南（第5版）</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（美）威廉姆斯、蒙日著，</w:t>
            </w:r>
          </w:p>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苏林森译</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清华大学出版社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2011年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23</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文明的冲突</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（美）塞缪尔</w:t>
            </w:r>
            <w:r>
              <w:rPr>
                <w:rFonts w:hint="eastAsia" w:ascii="仿宋" w:hAnsi="宋体" w:eastAsia="宋体" w:cs="宋体"/>
                <w:color w:val="000000"/>
                <w:kern w:val="0"/>
              </w:rPr>
              <w:t>•</w:t>
            </w:r>
            <w:r>
              <w:rPr>
                <w:rFonts w:hint="eastAsia" w:ascii="仿宋" w:hAnsi="仿宋" w:eastAsia="仿宋" w:cs="宋体"/>
                <w:color w:val="000000"/>
                <w:kern w:val="0"/>
              </w:rPr>
              <w:t>亨廷顿著，周琪译</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新华出版社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2013年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24</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连接：多边平台经济学</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fldChar w:fldCharType="begin"/>
            </w:r>
            <w:r>
              <w:instrText xml:space="preserve"> HYPERLINK "https://book.jd.com/writer/戴维·埃文斯_1.html" \o "https://book.jd.com/writer/戴维·埃文斯_1.html" </w:instrText>
            </w:r>
            <w:r>
              <w:fldChar w:fldCharType="separate"/>
            </w:r>
            <w:r>
              <w:rPr>
                <w:rFonts w:hint="eastAsia" w:ascii="仿宋" w:hAnsi="仿宋" w:eastAsia="仿宋" w:cs="宋体"/>
                <w:color w:val="000000"/>
                <w:kern w:val="0"/>
              </w:rPr>
              <w:t>（美）戴维·埃文斯</w:t>
            </w:r>
            <w:r>
              <w:rPr>
                <w:rFonts w:hint="eastAsia" w:ascii="仿宋" w:hAnsi="仿宋" w:eastAsia="仿宋" w:cs="宋体"/>
                <w:color w:val="000000"/>
                <w:kern w:val="0"/>
              </w:rPr>
              <w:fldChar w:fldCharType="end"/>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中信出版社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2018年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25</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互联网伦理——信息时代的道德重构</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（美）迈克尔</w:t>
            </w:r>
            <w:r>
              <w:rPr>
                <w:rFonts w:hint="eastAsia" w:ascii="仿宋" w:hAnsi="MS Gothic" w:eastAsia="MS Gothic" w:cs="宋体"/>
                <w:color w:val="000000"/>
                <w:kern w:val="0"/>
              </w:rPr>
              <w:t>・</w:t>
            </w:r>
            <w:r>
              <w:rPr>
                <w:rFonts w:hint="eastAsia" w:ascii="仿宋" w:hAnsi="仿宋" w:eastAsia="仿宋" w:cs="宋体"/>
                <w:color w:val="000000"/>
                <w:kern w:val="0"/>
              </w:rPr>
              <w:t>奎因</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中国工信出版集团，电子工业出版社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2016年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26</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广告的艺术</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（美）乔治·路易斯</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海南出版社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1999年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27</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视觉修辞学</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刘涛</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北京大学出版社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2021年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28</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西方媒介文化理论研究</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曾一果</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学习出版社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201</w:t>
            </w:r>
            <w:r>
              <w:rPr>
                <w:rFonts w:ascii="仿宋" w:hAnsi="仿宋" w:eastAsia="仿宋" w:cs="宋体"/>
                <w:color w:val="000000"/>
                <w:kern w:val="0"/>
              </w:rPr>
              <w:t>7</w:t>
            </w:r>
            <w:r>
              <w:rPr>
                <w:rFonts w:hint="eastAsia" w:ascii="仿宋" w:hAnsi="仿宋" w:eastAsia="仿宋" w:cs="宋体"/>
                <w:color w:val="000000"/>
                <w:kern w:val="0"/>
              </w:rPr>
              <w:t>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29</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华夏传播理论</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郝培仁，姚锦云</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浙江大学出版社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2020年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30</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中国古代符号思想史论</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祝东</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科学出版社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2021年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31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流行文化研究：方法与个案</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张潇潇</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暨南大学出版社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2020年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32</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话语·叙事·伦理：当代广告与网络传播的审思与批判</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杨先顺</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暨南大学出版社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2020年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33</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新报刊史书写</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黄旦</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上海交通大学出版社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2018年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34</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精神交往论:马克思恩格斯的传播观</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陈力丹</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中国人民大学出版社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2016年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35</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重访灰色地带:传播研究史的书写与记忆</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刘海龙</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北京大学</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2015年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36</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美国传播思想史</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胡翼青、张军芳</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复旦大学出版社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2019年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37</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记忆的纹理：媒介、创伤与南京大屠杀</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李红涛、黄顺铭</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中国人民大学出版社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2017年月</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38</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反戈一击：亚际文化研究读本</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罗小茗</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上海书店出版社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2019年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39</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质的研究方法与社会科学研究</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陈向明</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教育科学出版社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2006年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40</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传播与媒介文化研究方法</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王颖吉</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北京大学出版社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2017年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41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传承与断裂：巨变中的中国社会学与社会学家</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陆远</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商务印书馆</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2019年</w:t>
            </w:r>
          </w:p>
        </w:tc>
      </w:tr>
    </w:tbl>
    <w:p>
      <w:pPr>
        <w:spacing w:line="460" w:lineRule="exact"/>
        <w:ind w:firstLine="482" w:firstLineChars="200"/>
        <w:rPr>
          <w:rFonts w:asciiTheme="minorEastAsia" w:hAnsiTheme="minorEastAsia" w:eastAsiaTheme="minorEastAsia"/>
          <w:b/>
          <w:sz w:val="24"/>
          <w:szCs w:val="24"/>
          <w:highlight w:val="none"/>
        </w:rPr>
      </w:pPr>
      <w:bookmarkStart w:id="8" w:name="_GoBack"/>
      <w:bookmarkEnd w:id="8"/>
      <w:r>
        <w:rPr>
          <w:rFonts w:hint="eastAsia" w:asciiTheme="minorEastAsia" w:hAnsiTheme="minorEastAsia" w:eastAsiaTheme="minorEastAsia"/>
          <w:b/>
          <w:sz w:val="24"/>
          <w:szCs w:val="24"/>
          <w:highlight w:val="none"/>
        </w:rPr>
        <w:t>十三、其他要求</w:t>
      </w:r>
    </w:p>
    <w:p>
      <w:pPr>
        <w:spacing w:line="460" w:lineRule="exact"/>
        <w:ind w:firstLine="480" w:firstLineChars="200"/>
        <w:rPr>
          <w:rFonts w:cs="宋体" w:asciiTheme="minorEastAsia" w:hAnsiTheme="minorEastAsia" w:eastAsiaTheme="minorEastAsia"/>
          <w:sz w:val="24"/>
          <w:szCs w:val="24"/>
          <w:highlight w:val="none"/>
        </w:rPr>
      </w:pPr>
      <w:r>
        <w:rPr>
          <w:rFonts w:hint="eastAsia" w:ascii="仿宋" w:hAnsi="仿宋" w:eastAsia="仿宋"/>
          <w:sz w:val="24"/>
          <w:szCs w:val="24"/>
          <w:highlight w:val="none"/>
        </w:rPr>
        <w:t>本培养方案适用于20</w:t>
      </w:r>
      <w:r>
        <w:rPr>
          <w:rFonts w:ascii="仿宋" w:hAnsi="仿宋" w:eastAsia="仿宋"/>
          <w:sz w:val="24"/>
          <w:szCs w:val="24"/>
          <w:highlight w:val="none"/>
        </w:rPr>
        <w:t>22</w:t>
      </w:r>
      <w:r>
        <w:rPr>
          <w:rFonts w:hint="eastAsia" w:ascii="仿宋" w:hAnsi="仿宋" w:eastAsia="仿宋"/>
          <w:sz w:val="24"/>
          <w:szCs w:val="24"/>
          <w:highlight w:val="none"/>
        </w:rPr>
        <w:t xml:space="preserve"> 级及以后学术学位硕士研究生。</w:t>
      </w:r>
    </w:p>
    <w:p>
      <w:pPr>
        <w:spacing w:line="460" w:lineRule="exact"/>
        <w:ind w:firstLine="480" w:firstLineChars="200"/>
        <w:rPr>
          <w:rFonts w:cs="宋体" w:asciiTheme="minorEastAsia" w:hAnsiTheme="minorEastAsia" w:eastAsiaTheme="minorEastAsia"/>
          <w:sz w:val="24"/>
          <w:szCs w:val="24"/>
          <w:highlight w:val="none"/>
        </w:rPr>
      </w:pPr>
    </w:p>
    <w:p>
      <w:pPr>
        <w:spacing w:line="460" w:lineRule="exact"/>
        <w:ind w:firstLine="480" w:firstLineChars="200"/>
        <w:rPr>
          <w:rFonts w:cs="宋体" w:asciiTheme="minorEastAsia" w:hAnsiTheme="minorEastAsia" w:eastAsiaTheme="minorEastAsia"/>
          <w:sz w:val="24"/>
          <w:szCs w:val="24"/>
          <w:highlight w:val="none"/>
        </w:rPr>
      </w:pPr>
    </w:p>
    <w:p>
      <w:pPr>
        <w:spacing w:line="460" w:lineRule="exact"/>
        <w:ind w:firstLine="480" w:firstLineChars="200"/>
        <w:rPr>
          <w:rFonts w:cs="宋体" w:asciiTheme="minorEastAsia" w:hAnsiTheme="minorEastAsia" w:eastAsiaTheme="minorEastAsia"/>
          <w:sz w:val="24"/>
          <w:szCs w:val="24"/>
          <w:highlight w:val="none"/>
        </w:rPr>
      </w:pPr>
    </w:p>
    <w:p>
      <w:pPr>
        <w:spacing w:line="460" w:lineRule="exact"/>
        <w:ind w:firstLine="480" w:firstLineChars="200"/>
        <w:rPr>
          <w:rFonts w:cs="宋体" w:asciiTheme="minorEastAsia" w:hAnsiTheme="minorEastAsia" w:eastAsiaTheme="minorEastAsia"/>
          <w:sz w:val="24"/>
          <w:szCs w:val="24"/>
          <w:highlight w:val="none"/>
        </w:rPr>
      </w:pPr>
    </w:p>
    <w:p>
      <w:pPr>
        <w:spacing w:line="460" w:lineRule="exact"/>
        <w:ind w:firstLine="480" w:firstLineChars="200"/>
        <w:rPr>
          <w:rFonts w:cs="宋体" w:asciiTheme="minorEastAsia" w:hAnsiTheme="minorEastAsia" w:eastAsiaTheme="minorEastAsia"/>
          <w:sz w:val="24"/>
          <w:szCs w:val="24"/>
          <w:highlight w:val="none"/>
        </w:rPr>
      </w:pPr>
    </w:p>
    <w:p>
      <w:pPr>
        <w:spacing w:line="460" w:lineRule="exact"/>
        <w:ind w:firstLine="480" w:firstLineChars="200"/>
        <w:rPr>
          <w:rFonts w:cs="宋体" w:asciiTheme="minorEastAsia" w:hAnsiTheme="minorEastAsia" w:eastAsiaTheme="minorEastAsia"/>
          <w:sz w:val="24"/>
          <w:szCs w:val="24"/>
          <w:highlight w:val="none"/>
        </w:rPr>
      </w:pPr>
    </w:p>
    <w:p>
      <w:pPr>
        <w:spacing w:line="460" w:lineRule="exact"/>
        <w:ind w:firstLine="480" w:firstLineChars="200"/>
        <w:rPr>
          <w:rFonts w:cs="宋体" w:asciiTheme="minorEastAsia" w:hAnsiTheme="minorEastAsia" w:eastAsiaTheme="minorEastAsia"/>
          <w:sz w:val="24"/>
          <w:szCs w:val="24"/>
          <w:highlight w:val="none"/>
        </w:rPr>
      </w:pPr>
    </w:p>
    <w:p>
      <w:pPr>
        <w:spacing w:line="460" w:lineRule="exact"/>
        <w:ind w:firstLine="480" w:firstLineChars="200"/>
        <w:rPr>
          <w:rFonts w:cs="宋体" w:asciiTheme="minorEastAsia" w:hAnsiTheme="minorEastAsia" w:eastAsiaTheme="minorEastAsia"/>
          <w:sz w:val="24"/>
          <w:szCs w:val="24"/>
          <w:highlight w:val="none"/>
        </w:rPr>
      </w:pPr>
    </w:p>
    <w:p>
      <w:pPr>
        <w:spacing w:line="460" w:lineRule="exact"/>
        <w:ind w:firstLine="480" w:firstLineChars="200"/>
        <w:rPr>
          <w:rFonts w:cs="宋体" w:asciiTheme="minorEastAsia" w:hAnsiTheme="minorEastAsia" w:eastAsiaTheme="minorEastAsia"/>
          <w:sz w:val="24"/>
          <w:szCs w:val="24"/>
          <w:highlight w:val="none"/>
        </w:rPr>
      </w:pPr>
    </w:p>
    <w:p>
      <w:pPr>
        <w:spacing w:line="460" w:lineRule="exact"/>
        <w:ind w:firstLine="480" w:firstLineChars="200"/>
        <w:rPr>
          <w:rFonts w:cs="宋体" w:asciiTheme="minorEastAsia" w:hAnsiTheme="minorEastAsia" w:eastAsiaTheme="minorEastAsia"/>
          <w:sz w:val="24"/>
          <w:szCs w:val="24"/>
          <w:highlight w:val="none"/>
        </w:rPr>
      </w:pPr>
    </w:p>
    <w:p>
      <w:pPr>
        <w:spacing w:line="460" w:lineRule="exact"/>
        <w:ind w:firstLine="480" w:firstLineChars="200"/>
        <w:rPr>
          <w:rFonts w:cs="宋体" w:asciiTheme="minorEastAsia" w:hAnsiTheme="minorEastAsia" w:eastAsiaTheme="minorEastAsia"/>
          <w:sz w:val="24"/>
          <w:szCs w:val="24"/>
          <w:highlight w:val="none"/>
        </w:rPr>
      </w:pPr>
    </w:p>
    <w:p>
      <w:pPr>
        <w:spacing w:line="460" w:lineRule="exact"/>
        <w:ind w:firstLine="480" w:firstLineChars="200"/>
        <w:rPr>
          <w:rFonts w:cs="宋体" w:asciiTheme="minorEastAsia" w:hAnsiTheme="minorEastAsia" w:eastAsiaTheme="minorEastAsia"/>
          <w:sz w:val="24"/>
          <w:szCs w:val="24"/>
          <w:highlight w:val="none"/>
        </w:rPr>
      </w:pPr>
    </w:p>
    <w:p>
      <w:pPr>
        <w:spacing w:line="460" w:lineRule="exact"/>
        <w:ind w:firstLine="480" w:firstLineChars="200"/>
        <w:rPr>
          <w:rFonts w:cs="宋体" w:asciiTheme="minorEastAsia" w:hAnsiTheme="minorEastAsia" w:eastAsiaTheme="minorEastAsia"/>
          <w:sz w:val="24"/>
          <w:szCs w:val="24"/>
          <w:highlight w:val="none"/>
        </w:rPr>
      </w:pPr>
    </w:p>
    <w:p>
      <w:pPr>
        <w:spacing w:line="460" w:lineRule="exact"/>
        <w:ind w:firstLine="480" w:firstLineChars="200"/>
        <w:rPr>
          <w:rFonts w:cs="宋体" w:asciiTheme="minorEastAsia" w:hAnsiTheme="minorEastAsia" w:eastAsiaTheme="minorEastAsia"/>
          <w:sz w:val="24"/>
          <w:szCs w:val="24"/>
          <w:highlight w:val="none"/>
        </w:rPr>
      </w:pPr>
    </w:p>
    <w:p>
      <w:pPr>
        <w:spacing w:line="460" w:lineRule="exact"/>
        <w:ind w:firstLine="480" w:firstLineChars="200"/>
        <w:rPr>
          <w:rFonts w:cs="宋体" w:asciiTheme="minorEastAsia" w:hAnsiTheme="minorEastAsia" w:eastAsiaTheme="minorEastAsia"/>
          <w:sz w:val="24"/>
          <w:szCs w:val="24"/>
          <w:highlight w:val="none"/>
        </w:rPr>
      </w:pPr>
    </w:p>
    <w:p>
      <w:pPr>
        <w:spacing w:line="460" w:lineRule="exact"/>
        <w:ind w:firstLine="480" w:firstLineChars="200"/>
        <w:rPr>
          <w:rFonts w:cs="宋体" w:asciiTheme="minorEastAsia" w:hAnsiTheme="minorEastAsia" w:eastAsiaTheme="minorEastAsia"/>
          <w:sz w:val="24"/>
          <w:szCs w:val="24"/>
          <w:highlight w:val="none"/>
        </w:rPr>
      </w:pPr>
    </w:p>
    <w:p>
      <w:pPr>
        <w:spacing w:line="460" w:lineRule="exact"/>
        <w:ind w:firstLine="480" w:firstLineChars="200"/>
        <w:rPr>
          <w:rFonts w:cs="宋体" w:asciiTheme="minorEastAsia" w:hAnsiTheme="minorEastAsia" w:eastAsiaTheme="minorEastAsia"/>
          <w:sz w:val="24"/>
          <w:szCs w:val="24"/>
          <w:highlight w:val="none"/>
        </w:rPr>
      </w:pPr>
    </w:p>
    <w:p>
      <w:pPr>
        <w:spacing w:line="460" w:lineRule="exact"/>
        <w:ind w:firstLine="3240" w:firstLineChars="1350"/>
        <w:rPr>
          <w:sz w:val="24"/>
          <w:highlight w:val="none"/>
        </w:rPr>
      </w:pPr>
      <w:r>
        <w:rPr>
          <w:rFonts w:hint="eastAsia" w:asciiTheme="minorEastAsia" w:hAnsiTheme="minorEastAsia" w:eastAsiaTheme="minorEastAsia"/>
          <w:sz w:val="24"/>
          <w:szCs w:val="24"/>
          <w:highlight w:val="none"/>
        </w:rPr>
        <w:t xml:space="preserve">         </w:t>
      </w:r>
    </w:p>
    <w:p>
      <w:pPr>
        <w:spacing w:line="360" w:lineRule="auto"/>
        <w:ind w:firstLine="3960" w:firstLineChars="1650"/>
        <w:rPr>
          <w:sz w:val="24"/>
          <w:highlight w:val="none"/>
        </w:rPr>
      </w:pPr>
    </w:p>
    <w:p>
      <w:pPr>
        <w:rPr>
          <w:highlight w:val="none"/>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3"/>
          <w:jc w:val="center"/>
        </w:pPr>
        <w:r>
          <w:fldChar w:fldCharType="begin"/>
        </w:r>
        <w:r>
          <w:instrText xml:space="preserve">PAGE   \* MERGEFORMAT</w:instrText>
        </w:r>
        <w:r>
          <w:fldChar w:fldCharType="separate"/>
        </w:r>
        <w:r>
          <w:rPr>
            <w:lang w:val="zh-CN"/>
          </w:rPr>
          <w:t>8</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mM2Y5MWM3Mzg5YWRlNzQ2Y2M3Yjc5MTM0OGFjNzcifQ=="/>
  </w:docVars>
  <w:rsids>
    <w:rsidRoot w:val="0057480E"/>
    <w:rsid w:val="00000305"/>
    <w:rsid w:val="00000CC7"/>
    <w:rsid w:val="0001133D"/>
    <w:rsid w:val="00011A1F"/>
    <w:rsid w:val="00015B30"/>
    <w:rsid w:val="0004412D"/>
    <w:rsid w:val="000610C4"/>
    <w:rsid w:val="00063F82"/>
    <w:rsid w:val="000777C3"/>
    <w:rsid w:val="00077887"/>
    <w:rsid w:val="000826CB"/>
    <w:rsid w:val="0008757A"/>
    <w:rsid w:val="00092793"/>
    <w:rsid w:val="00096C54"/>
    <w:rsid w:val="00097F93"/>
    <w:rsid w:val="000A04CF"/>
    <w:rsid w:val="000C0D01"/>
    <w:rsid w:val="000C7017"/>
    <w:rsid w:val="000D00C2"/>
    <w:rsid w:val="000D4B00"/>
    <w:rsid w:val="000D57B3"/>
    <w:rsid w:val="000D6CD5"/>
    <w:rsid w:val="0011522A"/>
    <w:rsid w:val="00124889"/>
    <w:rsid w:val="0013087A"/>
    <w:rsid w:val="00131E50"/>
    <w:rsid w:val="00135F01"/>
    <w:rsid w:val="001525B7"/>
    <w:rsid w:val="00173060"/>
    <w:rsid w:val="00182463"/>
    <w:rsid w:val="001B2B9B"/>
    <w:rsid w:val="001B2DE3"/>
    <w:rsid w:val="001B4FEB"/>
    <w:rsid w:val="001D1260"/>
    <w:rsid w:val="001E5F1C"/>
    <w:rsid w:val="001F0FCA"/>
    <w:rsid w:val="001F6A90"/>
    <w:rsid w:val="00221269"/>
    <w:rsid w:val="00221E5A"/>
    <w:rsid w:val="0022315B"/>
    <w:rsid w:val="00223244"/>
    <w:rsid w:val="00227D21"/>
    <w:rsid w:val="00230050"/>
    <w:rsid w:val="00237251"/>
    <w:rsid w:val="00241B34"/>
    <w:rsid w:val="00243D0A"/>
    <w:rsid w:val="002472BF"/>
    <w:rsid w:val="002519FB"/>
    <w:rsid w:val="00255BFA"/>
    <w:rsid w:val="002623B4"/>
    <w:rsid w:val="00271F45"/>
    <w:rsid w:val="00284244"/>
    <w:rsid w:val="002926C4"/>
    <w:rsid w:val="002A16F7"/>
    <w:rsid w:val="002B6F52"/>
    <w:rsid w:val="002C5513"/>
    <w:rsid w:val="002C74C8"/>
    <w:rsid w:val="002D5138"/>
    <w:rsid w:val="002E48B6"/>
    <w:rsid w:val="00301BF3"/>
    <w:rsid w:val="00322247"/>
    <w:rsid w:val="00325856"/>
    <w:rsid w:val="00336265"/>
    <w:rsid w:val="00346DB6"/>
    <w:rsid w:val="00357050"/>
    <w:rsid w:val="0038311E"/>
    <w:rsid w:val="00383278"/>
    <w:rsid w:val="00391869"/>
    <w:rsid w:val="00391C30"/>
    <w:rsid w:val="00396A20"/>
    <w:rsid w:val="003A7686"/>
    <w:rsid w:val="003C250A"/>
    <w:rsid w:val="003D1A5D"/>
    <w:rsid w:val="003D29C5"/>
    <w:rsid w:val="003E71E9"/>
    <w:rsid w:val="003F323E"/>
    <w:rsid w:val="004073B8"/>
    <w:rsid w:val="00412A97"/>
    <w:rsid w:val="004221D9"/>
    <w:rsid w:val="004236EF"/>
    <w:rsid w:val="004379ED"/>
    <w:rsid w:val="00444123"/>
    <w:rsid w:val="00450791"/>
    <w:rsid w:val="00460233"/>
    <w:rsid w:val="0046740F"/>
    <w:rsid w:val="00476A15"/>
    <w:rsid w:val="004809FB"/>
    <w:rsid w:val="004915E6"/>
    <w:rsid w:val="004B1244"/>
    <w:rsid w:val="004B2A2E"/>
    <w:rsid w:val="004C5662"/>
    <w:rsid w:val="004C7392"/>
    <w:rsid w:val="004C7E59"/>
    <w:rsid w:val="004D6874"/>
    <w:rsid w:val="004F281E"/>
    <w:rsid w:val="004F4C62"/>
    <w:rsid w:val="004F60DB"/>
    <w:rsid w:val="00504E65"/>
    <w:rsid w:val="005142C8"/>
    <w:rsid w:val="0051541F"/>
    <w:rsid w:val="005364AA"/>
    <w:rsid w:val="005434A2"/>
    <w:rsid w:val="00550F6D"/>
    <w:rsid w:val="00551F32"/>
    <w:rsid w:val="00567254"/>
    <w:rsid w:val="0057480E"/>
    <w:rsid w:val="00575571"/>
    <w:rsid w:val="005777B2"/>
    <w:rsid w:val="005A08A4"/>
    <w:rsid w:val="005E122E"/>
    <w:rsid w:val="005E2EB2"/>
    <w:rsid w:val="005E69AC"/>
    <w:rsid w:val="005F023F"/>
    <w:rsid w:val="005F2B43"/>
    <w:rsid w:val="00600C40"/>
    <w:rsid w:val="00614FDF"/>
    <w:rsid w:val="0062007B"/>
    <w:rsid w:val="00635080"/>
    <w:rsid w:val="006351C4"/>
    <w:rsid w:val="00646D28"/>
    <w:rsid w:val="00653125"/>
    <w:rsid w:val="006556C6"/>
    <w:rsid w:val="006645A1"/>
    <w:rsid w:val="006679A3"/>
    <w:rsid w:val="006768D2"/>
    <w:rsid w:val="006A0815"/>
    <w:rsid w:val="006A0F73"/>
    <w:rsid w:val="006B584B"/>
    <w:rsid w:val="006C55C6"/>
    <w:rsid w:val="006D7135"/>
    <w:rsid w:val="006E3B6C"/>
    <w:rsid w:val="006E6CAC"/>
    <w:rsid w:val="007014A6"/>
    <w:rsid w:val="007058D3"/>
    <w:rsid w:val="00706A18"/>
    <w:rsid w:val="0071374E"/>
    <w:rsid w:val="00751D85"/>
    <w:rsid w:val="00766946"/>
    <w:rsid w:val="00781913"/>
    <w:rsid w:val="00793AF1"/>
    <w:rsid w:val="007942D5"/>
    <w:rsid w:val="007A4D7B"/>
    <w:rsid w:val="007B2FB1"/>
    <w:rsid w:val="007E2167"/>
    <w:rsid w:val="007E4E4B"/>
    <w:rsid w:val="007F511B"/>
    <w:rsid w:val="008014FA"/>
    <w:rsid w:val="00805EA3"/>
    <w:rsid w:val="00815EEC"/>
    <w:rsid w:val="00831E85"/>
    <w:rsid w:val="0083559C"/>
    <w:rsid w:val="00836FAA"/>
    <w:rsid w:val="0084368C"/>
    <w:rsid w:val="00845ED8"/>
    <w:rsid w:val="00856381"/>
    <w:rsid w:val="00862DBE"/>
    <w:rsid w:val="00865B7D"/>
    <w:rsid w:val="00875450"/>
    <w:rsid w:val="00883781"/>
    <w:rsid w:val="00884B9F"/>
    <w:rsid w:val="008B0430"/>
    <w:rsid w:val="008B5B72"/>
    <w:rsid w:val="008C19EB"/>
    <w:rsid w:val="008E205B"/>
    <w:rsid w:val="008F2C70"/>
    <w:rsid w:val="008F4780"/>
    <w:rsid w:val="008F4C2A"/>
    <w:rsid w:val="00917DC4"/>
    <w:rsid w:val="00931D6F"/>
    <w:rsid w:val="00942243"/>
    <w:rsid w:val="00987FDF"/>
    <w:rsid w:val="009B7FD7"/>
    <w:rsid w:val="009C034B"/>
    <w:rsid w:val="009C0375"/>
    <w:rsid w:val="009D7FCB"/>
    <w:rsid w:val="009E5448"/>
    <w:rsid w:val="009F5651"/>
    <w:rsid w:val="00A0256A"/>
    <w:rsid w:val="00A20158"/>
    <w:rsid w:val="00A2533F"/>
    <w:rsid w:val="00A3315F"/>
    <w:rsid w:val="00A43BCE"/>
    <w:rsid w:val="00A46966"/>
    <w:rsid w:val="00A558F6"/>
    <w:rsid w:val="00A65399"/>
    <w:rsid w:val="00A8772D"/>
    <w:rsid w:val="00A915AC"/>
    <w:rsid w:val="00A91604"/>
    <w:rsid w:val="00AB5015"/>
    <w:rsid w:val="00AC5BE1"/>
    <w:rsid w:val="00AD5C2C"/>
    <w:rsid w:val="00AD7680"/>
    <w:rsid w:val="00AF7D79"/>
    <w:rsid w:val="00B01AC9"/>
    <w:rsid w:val="00B05EDE"/>
    <w:rsid w:val="00B37F9E"/>
    <w:rsid w:val="00B522D4"/>
    <w:rsid w:val="00B62C1A"/>
    <w:rsid w:val="00B65D19"/>
    <w:rsid w:val="00B932CC"/>
    <w:rsid w:val="00B95DF1"/>
    <w:rsid w:val="00BA408F"/>
    <w:rsid w:val="00BC0A0A"/>
    <w:rsid w:val="00BC7D9D"/>
    <w:rsid w:val="00BD6A29"/>
    <w:rsid w:val="00BE0250"/>
    <w:rsid w:val="00BE5C1E"/>
    <w:rsid w:val="00BE71D8"/>
    <w:rsid w:val="00BF1B19"/>
    <w:rsid w:val="00C1141E"/>
    <w:rsid w:val="00C1485C"/>
    <w:rsid w:val="00C25900"/>
    <w:rsid w:val="00C62E86"/>
    <w:rsid w:val="00CA469E"/>
    <w:rsid w:val="00CA6FDC"/>
    <w:rsid w:val="00CE71B9"/>
    <w:rsid w:val="00CF36FF"/>
    <w:rsid w:val="00CF440F"/>
    <w:rsid w:val="00D05AB0"/>
    <w:rsid w:val="00D17569"/>
    <w:rsid w:val="00D1770C"/>
    <w:rsid w:val="00D3233B"/>
    <w:rsid w:val="00D85673"/>
    <w:rsid w:val="00D93056"/>
    <w:rsid w:val="00DA3825"/>
    <w:rsid w:val="00DC5421"/>
    <w:rsid w:val="00DC6545"/>
    <w:rsid w:val="00DD1C90"/>
    <w:rsid w:val="00DD506A"/>
    <w:rsid w:val="00DD7156"/>
    <w:rsid w:val="00DE06BE"/>
    <w:rsid w:val="00DF62AF"/>
    <w:rsid w:val="00E13E2C"/>
    <w:rsid w:val="00E171D6"/>
    <w:rsid w:val="00E2106A"/>
    <w:rsid w:val="00E23A2D"/>
    <w:rsid w:val="00E25789"/>
    <w:rsid w:val="00E5290A"/>
    <w:rsid w:val="00E54A74"/>
    <w:rsid w:val="00E64706"/>
    <w:rsid w:val="00E6728A"/>
    <w:rsid w:val="00E836A4"/>
    <w:rsid w:val="00E925A6"/>
    <w:rsid w:val="00E94154"/>
    <w:rsid w:val="00E97362"/>
    <w:rsid w:val="00E977E3"/>
    <w:rsid w:val="00EA2ED3"/>
    <w:rsid w:val="00EC39B1"/>
    <w:rsid w:val="00EE7C70"/>
    <w:rsid w:val="00EF773D"/>
    <w:rsid w:val="00F02216"/>
    <w:rsid w:val="00F06491"/>
    <w:rsid w:val="00F114B2"/>
    <w:rsid w:val="00F26504"/>
    <w:rsid w:val="00F47B1B"/>
    <w:rsid w:val="00F64F4F"/>
    <w:rsid w:val="00FA2B22"/>
    <w:rsid w:val="00FB30D6"/>
    <w:rsid w:val="00FC4BC2"/>
    <w:rsid w:val="00FD2C25"/>
    <w:rsid w:val="00FE3973"/>
    <w:rsid w:val="00FF6872"/>
    <w:rsid w:val="053877B5"/>
    <w:rsid w:val="09890D08"/>
    <w:rsid w:val="0B520C02"/>
    <w:rsid w:val="0DEB4313"/>
    <w:rsid w:val="158D4D7E"/>
    <w:rsid w:val="166B7A3C"/>
    <w:rsid w:val="197E5467"/>
    <w:rsid w:val="1ACE5879"/>
    <w:rsid w:val="1AF303A8"/>
    <w:rsid w:val="1C905F86"/>
    <w:rsid w:val="22295DFC"/>
    <w:rsid w:val="26FE06C6"/>
    <w:rsid w:val="284E4D35"/>
    <w:rsid w:val="29C870AE"/>
    <w:rsid w:val="2D171205"/>
    <w:rsid w:val="2E036322"/>
    <w:rsid w:val="347462F7"/>
    <w:rsid w:val="376E30CD"/>
    <w:rsid w:val="48236975"/>
    <w:rsid w:val="4C7E5F71"/>
    <w:rsid w:val="4F413D7B"/>
    <w:rsid w:val="51237DE9"/>
    <w:rsid w:val="54AC6D4D"/>
    <w:rsid w:val="579850D0"/>
    <w:rsid w:val="58E97083"/>
    <w:rsid w:val="5A2F7708"/>
    <w:rsid w:val="5EDE1983"/>
    <w:rsid w:val="63A36DB7"/>
    <w:rsid w:val="667E3967"/>
    <w:rsid w:val="67763E1A"/>
    <w:rsid w:val="693C4FA4"/>
    <w:rsid w:val="69F22FC9"/>
    <w:rsid w:val="6F55E737"/>
    <w:rsid w:val="7D8B3884"/>
    <w:rsid w:val="7DF03E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Char Char Char Char"/>
    <w:basedOn w:val="1"/>
    <w:qFormat/>
    <w:uiPriority w:val="0"/>
    <w:rPr>
      <w:rFonts w:ascii="Tahoma" w:hAnsi="Tahoma"/>
      <w:sz w:val="24"/>
      <w:szCs w:val="20"/>
    </w:rPr>
  </w:style>
  <w:style w:type="paragraph" w:customStyle="1" w:styleId="10">
    <w:name w:val="列出段落1"/>
    <w:basedOn w:val="1"/>
    <w:qFormat/>
    <w:uiPriority w:val="0"/>
    <w:pPr>
      <w:spacing w:beforeLines="50"/>
      <w:ind w:firstLine="420" w:firstLineChars="200"/>
    </w:pPr>
    <w:rPr>
      <w:rFonts w:ascii="Times New Roman" w:hAnsi="Times New Roman"/>
      <w:szCs w:val="24"/>
    </w:rPr>
  </w:style>
  <w:style w:type="character" w:customStyle="1" w:styleId="11">
    <w:name w:val="批注框文本 Char"/>
    <w:basedOn w:val="6"/>
    <w:link w:val="2"/>
    <w:semiHidden/>
    <w:qFormat/>
    <w:uiPriority w:val="99"/>
    <w:rPr>
      <w:rFonts w:ascii="Calibri" w:hAnsi="Calibri" w:eastAsia="宋体" w:cs="Times New Roman"/>
      <w:kern w:val="2"/>
      <w:sz w:val="18"/>
      <w:szCs w:val="18"/>
    </w:rPr>
  </w:style>
  <w:style w:type="paragraph" w:customStyle="1"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9</Pages>
  <Words>5438</Words>
  <Characters>6940</Characters>
  <Lines>62</Lines>
  <Paragraphs>17</Paragraphs>
  <TotalTime>0</TotalTime>
  <ScaleCrop>false</ScaleCrop>
  <LinksUpToDate>false</LinksUpToDate>
  <CharactersWithSpaces>7102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2022-05-23T18:06:00Z</dcterms:created>
  <dc:creator>郑桦</dc:creator>
  <cp:lastModifiedBy>lueilueiluei</cp:lastModifiedBy>
  <cp:lastPrinted>2022-05-11T09:49:00Z</cp:lastPrinted>
  <dcterms:modified xsi:type="dcterms:W3CDTF">2023-08-24T05:25:58Z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E7A4FF7956084F3D9C2E28E9562F6A3A</vt:lpwstr>
  </property>
</Properties>
</file>